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黑体"/>
          <w:sz w:val="20"/>
        </w:rPr>
      </w:pPr>
      <w:bookmarkStart w:id="0" w:name="_GoBack"/>
      <w:bookmarkEnd w:id="0"/>
    </w:p>
    <w:p>
      <w:pPr>
        <w:pStyle w:val="4"/>
        <w:spacing w:before="11"/>
        <w:rPr>
          <w:rFonts w:ascii="黑体"/>
          <w:sz w:val="23"/>
        </w:rPr>
      </w:pPr>
    </w:p>
    <w:p>
      <w:pPr>
        <w:pStyle w:val="4"/>
        <w:spacing w:before="55"/>
        <w:ind w:left="130" w:right="251"/>
        <w:jc w:val="center"/>
      </w:pPr>
      <w:r>
        <w:t>琼山农发〔2020〕36 号</w:t>
      </w:r>
    </w:p>
    <w:p>
      <w:pPr>
        <w:pStyle w:val="4"/>
        <w:spacing w:before="3"/>
        <w:rPr>
          <w:sz w:val="12"/>
        </w:rPr>
      </w:pPr>
    </w:p>
    <w:p>
      <w:pPr>
        <w:pStyle w:val="4"/>
        <w:spacing w:before="9"/>
        <w:rPr>
          <w:sz w:val="26"/>
        </w:rPr>
      </w:pPr>
    </w:p>
    <w:p>
      <w:pPr>
        <w:pStyle w:val="2"/>
        <w:spacing w:line="553" w:lineRule="exact"/>
      </w:pPr>
      <w:r>
        <w:t>海口市琼山区农业农村局</w:t>
      </w:r>
    </w:p>
    <w:p>
      <w:pPr>
        <w:spacing w:before="7" w:line="230" w:lineRule="auto"/>
        <w:ind w:left="132" w:right="251" w:firstLine="0"/>
        <w:jc w:val="center"/>
        <w:rPr>
          <w:rFonts w:hint="eastAsia" w:ascii="黑体" w:eastAsia="黑体"/>
          <w:sz w:val="44"/>
        </w:rPr>
      </w:pPr>
      <w:r>
        <w:rPr>
          <w:rFonts w:hint="eastAsia" w:ascii="黑体" w:eastAsia="黑体"/>
          <w:sz w:val="44"/>
        </w:rPr>
        <w:t>关于印发《琼山区兽药经营企业清理整顿专项活动实施工作方案》的通知</w:t>
      </w:r>
    </w:p>
    <w:p>
      <w:pPr>
        <w:pStyle w:val="4"/>
        <w:spacing w:before="12"/>
        <w:rPr>
          <w:rFonts w:ascii="黑体"/>
          <w:sz w:val="52"/>
        </w:rPr>
      </w:pPr>
    </w:p>
    <w:p>
      <w:pPr>
        <w:pStyle w:val="4"/>
        <w:ind w:left="111"/>
      </w:pPr>
      <w:r>
        <w:t>各镇农业服务中心、区动物卫生监督所：</w:t>
      </w:r>
    </w:p>
    <w:p>
      <w:pPr>
        <w:pStyle w:val="4"/>
        <w:spacing w:before="149" w:line="328" w:lineRule="auto"/>
        <w:ind w:left="111" w:right="230" w:firstLine="640"/>
        <w:jc w:val="both"/>
      </w:pPr>
      <w:r>
        <w:rPr>
          <w:spacing w:val="-9"/>
          <w:w w:val="95"/>
        </w:rPr>
        <w:t xml:space="preserve">为整顿兽药经营市场秩序，现将《琼山区兽药经营企业清理 </w:t>
      </w:r>
      <w:r>
        <w:rPr>
          <w:spacing w:val="-16"/>
        </w:rPr>
        <w:t>整顿专项活动实施工作方案》印发给你们，请各单位认真贯彻落实。</w:t>
      </w:r>
    </w:p>
    <w:p>
      <w:pPr>
        <w:pStyle w:val="4"/>
      </w:pPr>
    </w:p>
    <w:p>
      <w:pPr>
        <w:pStyle w:val="4"/>
      </w:pPr>
    </w:p>
    <w:p>
      <w:pPr>
        <w:pStyle w:val="4"/>
        <w:spacing w:before="1"/>
        <w:rPr>
          <w:sz w:val="23"/>
        </w:rPr>
      </w:pPr>
    </w:p>
    <w:p>
      <w:pPr>
        <w:pStyle w:val="4"/>
        <w:spacing w:line="326" w:lineRule="auto"/>
        <w:ind w:left="5230" w:right="1074" w:hanging="639"/>
      </w:pPr>
      <w:r>
        <w:rPr>
          <w:spacing w:val="-2"/>
        </w:rPr>
        <w:t>海口市琼山区农业农村局</w:t>
      </w:r>
      <w:r>
        <w:t>2020</w:t>
      </w:r>
      <w:r>
        <w:rPr>
          <w:spacing w:val="-55"/>
        </w:rPr>
        <w:t xml:space="preserve"> 年 </w:t>
      </w:r>
      <w:r>
        <w:t>4</w:t>
      </w:r>
      <w:r>
        <w:rPr>
          <w:spacing w:val="-53"/>
        </w:rPr>
        <w:t xml:space="preserve"> 月 </w:t>
      </w:r>
      <w:r>
        <w:t>29</w:t>
      </w:r>
      <w:r>
        <w:rPr>
          <w:spacing w:val="-42"/>
        </w:rPr>
        <w:t xml:space="preserve"> 日</w:t>
      </w:r>
    </w:p>
    <w:p>
      <w:pPr>
        <w:pStyle w:val="4"/>
        <w:spacing w:before="7"/>
        <w:rPr>
          <w:sz w:val="46"/>
        </w:rPr>
      </w:pPr>
    </w:p>
    <w:p>
      <w:pPr>
        <w:pStyle w:val="4"/>
        <w:ind w:left="430"/>
      </w:pPr>
      <w:r>
        <w:t>（此件主动公开，联系人：符小虔，电话：65818603）</w:t>
      </w:r>
    </w:p>
    <w:p>
      <w:pPr>
        <w:spacing w:after="0"/>
        <w:sectPr>
          <w:footerReference r:id="rId5" w:type="default"/>
          <w:type w:val="continuous"/>
          <w:pgSz w:w="11910" w:h="16840"/>
          <w:pgMar w:top="1600" w:right="1300" w:bottom="1900" w:left="1420" w:header="720" w:footer="1707" w:gutter="0"/>
          <w:pgNumType w:start="1"/>
          <w:cols w:space="720" w:num="1"/>
        </w:sectPr>
      </w:pPr>
    </w:p>
    <w:p>
      <w:pPr>
        <w:pStyle w:val="4"/>
        <w:spacing w:before="12"/>
        <w:rPr>
          <w:sz w:val="11"/>
        </w:rPr>
      </w:pPr>
    </w:p>
    <w:p>
      <w:pPr>
        <w:pStyle w:val="2"/>
        <w:spacing w:before="73" w:line="220" w:lineRule="auto"/>
        <w:ind w:left="3212" w:right="914" w:hanging="2420"/>
        <w:jc w:val="left"/>
      </w:pPr>
      <w:r>
        <w:t>琼山区兽药经营企业清理整顿专项活动实施工作方案</w:t>
      </w:r>
    </w:p>
    <w:p>
      <w:pPr>
        <w:pStyle w:val="4"/>
        <w:spacing w:before="5"/>
        <w:rPr>
          <w:rFonts w:ascii="黑体"/>
          <w:sz w:val="47"/>
        </w:rPr>
      </w:pPr>
    </w:p>
    <w:p>
      <w:pPr>
        <w:pStyle w:val="4"/>
        <w:spacing w:line="304" w:lineRule="auto"/>
        <w:ind w:left="111" w:right="230" w:firstLine="640"/>
        <w:jc w:val="both"/>
      </w:pPr>
      <w:r>
        <w:rPr>
          <w:spacing w:val="-12"/>
          <w:w w:val="95"/>
        </w:rPr>
        <w:t xml:space="preserve">根据《兽药管理条例》、《兽药经营质量管理规范》等法律 法规，为了保障养殖业健康发展和畜产品质量安全，打击制售假 </w:t>
      </w:r>
      <w:r>
        <w:rPr>
          <w:spacing w:val="-16"/>
          <w:w w:val="95"/>
        </w:rPr>
        <w:t xml:space="preserve">劣兽药的违法行为，整顿兽药经营市场秩序，落实兽药经营企业 </w:t>
      </w:r>
      <w:r>
        <w:rPr>
          <w:spacing w:val="-16"/>
        </w:rPr>
        <w:t>整顿行动，制定本实施方案。</w:t>
      </w:r>
    </w:p>
    <w:p>
      <w:pPr>
        <w:pStyle w:val="3"/>
      </w:pPr>
      <w:r>
        <w:t>一、指导思路</w:t>
      </w:r>
    </w:p>
    <w:p>
      <w:pPr>
        <w:pStyle w:val="4"/>
        <w:spacing w:before="108" w:line="304" w:lineRule="auto"/>
        <w:ind w:left="111" w:right="114" w:firstLine="640"/>
      </w:pPr>
      <w:r>
        <w:rPr>
          <w:spacing w:val="-12"/>
        </w:rPr>
        <w:t>以《兽药管理条例》等法律法规为依据，以推进实施《兽药</w:t>
      </w:r>
      <w:r>
        <w:rPr>
          <w:spacing w:val="-15"/>
        </w:rPr>
        <w:t xml:space="preserve">经营质量管理规范》为抓手，紧紧围绕兽药市场突出问题，全面整治和规范兽药经营市场秩序，严格准入管理，强化日常监管， </w:t>
      </w:r>
      <w:r>
        <w:rPr>
          <w:spacing w:val="-18"/>
        </w:rPr>
        <w:t>严厉查处各种违法违规行为，提升兽药质量，保证养殖业健康发展。</w:t>
      </w:r>
    </w:p>
    <w:p>
      <w:pPr>
        <w:pStyle w:val="3"/>
        <w:spacing w:line="409" w:lineRule="exact"/>
      </w:pPr>
      <w:r>
        <w:t>二、工作目标</w:t>
      </w:r>
    </w:p>
    <w:p>
      <w:pPr>
        <w:pStyle w:val="4"/>
        <w:spacing w:before="108"/>
        <w:ind w:left="751"/>
      </w:pPr>
      <w:r>
        <w:t>通过集中清理整顿活动，一是使《兽药经营质量管理规范》</w:t>
      </w:r>
    </w:p>
    <w:p>
      <w:pPr>
        <w:pStyle w:val="4"/>
        <w:spacing w:before="111" w:line="304" w:lineRule="auto"/>
        <w:ind w:left="111" w:right="114"/>
      </w:pPr>
      <w:r>
        <w:t>（</w:t>
      </w:r>
      <w:r>
        <w:rPr>
          <w:spacing w:val="-17"/>
        </w:rPr>
        <w:t xml:space="preserve">以下简称 </w:t>
      </w:r>
      <w:r>
        <w:rPr>
          <w:spacing w:val="-3"/>
        </w:rPr>
        <w:t xml:space="preserve">GSP）得到有效推进，兽药经营行为更规范，二是增强兽药经营企业诚信自律意识、质量责任意识和守法经营意识， </w:t>
      </w:r>
      <w:r>
        <w:rPr>
          <w:spacing w:val="-12"/>
        </w:rPr>
        <w:t>取缔无证经营兽药店，杜绝无证经营行为，保证兽药市场健康发展。</w:t>
      </w:r>
    </w:p>
    <w:p>
      <w:pPr>
        <w:spacing w:before="0" w:line="304" w:lineRule="auto"/>
        <w:ind w:left="751" w:right="5795" w:firstLine="0"/>
        <w:jc w:val="left"/>
        <w:rPr>
          <w:rFonts w:hint="eastAsia" w:ascii="黑体" w:eastAsia="黑体"/>
          <w:b/>
          <w:sz w:val="32"/>
        </w:rPr>
      </w:pPr>
      <w:r>
        <w:rPr>
          <w:rFonts w:hint="eastAsia" w:ascii="黑体" w:eastAsia="黑体"/>
          <w:b/>
          <w:sz w:val="32"/>
        </w:rPr>
        <w:t xml:space="preserve">三、整顿时间 </w:t>
      </w:r>
      <w:r>
        <w:rPr>
          <w:rFonts w:hint="eastAsia" w:ascii="仿宋_GB2312" w:eastAsia="仿宋_GB2312"/>
          <w:sz w:val="32"/>
        </w:rPr>
        <w:t>2020</w:t>
      </w:r>
      <w:r>
        <w:rPr>
          <w:rFonts w:hint="eastAsia" w:ascii="仿宋_GB2312" w:eastAsia="仿宋_GB2312"/>
          <w:spacing w:val="-55"/>
          <w:sz w:val="32"/>
        </w:rPr>
        <w:t xml:space="preserve"> 年 </w:t>
      </w:r>
      <w:r>
        <w:rPr>
          <w:rFonts w:hint="eastAsia" w:ascii="仿宋_GB2312" w:eastAsia="仿宋_GB2312"/>
          <w:sz w:val="32"/>
        </w:rPr>
        <w:t>5</w:t>
      </w:r>
      <w:r>
        <w:rPr>
          <w:rFonts w:hint="eastAsia" w:ascii="仿宋_GB2312" w:eastAsia="仿宋_GB2312"/>
          <w:spacing w:val="-41"/>
          <w:sz w:val="32"/>
        </w:rPr>
        <w:t xml:space="preserve"> 月至 </w:t>
      </w:r>
      <w:r>
        <w:rPr>
          <w:rFonts w:hint="eastAsia" w:ascii="仿宋_GB2312" w:eastAsia="仿宋_GB2312"/>
          <w:sz w:val="32"/>
        </w:rPr>
        <w:t>6</w:t>
      </w:r>
      <w:r>
        <w:rPr>
          <w:rFonts w:hint="eastAsia" w:ascii="仿宋_GB2312" w:eastAsia="仿宋_GB2312"/>
          <w:spacing w:val="-47"/>
          <w:sz w:val="32"/>
        </w:rPr>
        <w:t xml:space="preserve"> 月</w:t>
      </w:r>
      <w:r>
        <w:rPr>
          <w:rFonts w:hint="eastAsia" w:ascii="黑体" w:eastAsia="黑体"/>
          <w:b/>
          <w:sz w:val="32"/>
        </w:rPr>
        <w:t>四、主要工作</w:t>
      </w:r>
    </w:p>
    <w:p>
      <w:pPr>
        <w:pStyle w:val="3"/>
        <w:rPr>
          <w:rFonts w:hint="eastAsia" w:ascii="楷体" w:eastAsia="楷体"/>
        </w:rPr>
      </w:pPr>
      <w:r>
        <w:rPr>
          <w:rFonts w:hint="eastAsia" w:ascii="楷体" w:eastAsia="楷体"/>
        </w:rPr>
        <w:t>（一）成立兽药经营专项整顿工作小组</w:t>
      </w:r>
    </w:p>
    <w:p>
      <w:pPr>
        <w:pStyle w:val="4"/>
        <w:spacing w:before="106" w:line="304" w:lineRule="auto"/>
        <w:ind w:left="111" w:right="230" w:firstLine="640"/>
      </w:pPr>
      <w:r>
        <w:rPr>
          <w:spacing w:val="-9"/>
          <w:w w:val="95"/>
        </w:rPr>
        <w:t xml:space="preserve">为做好兽药经营专项整顿工作，成立兽药经营专项整顿工作 </w:t>
      </w:r>
      <w:r>
        <w:rPr>
          <w:spacing w:val="-9"/>
        </w:rPr>
        <w:t>小组，其成员组成如下：</w:t>
      </w:r>
    </w:p>
    <w:p>
      <w:pPr>
        <w:spacing w:after="0" w:line="304" w:lineRule="auto"/>
        <w:sectPr>
          <w:pgSz w:w="11910" w:h="16840"/>
          <w:pgMar w:top="1600" w:right="1300" w:bottom="1900" w:left="1420" w:header="0" w:footer="1707" w:gutter="0"/>
          <w:cols w:space="720" w:num="1"/>
        </w:sectPr>
      </w:pPr>
    </w:p>
    <w:p>
      <w:pPr>
        <w:pStyle w:val="4"/>
        <w:rPr>
          <w:sz w:val="20"/>
        </w:rPr>
      </w:pPr>
    </w:p>
    <w:p>
      <w:pPr>
        <w:pStyle w:val="4"/>
        <w:tabs>
          <w:tab w:val="left" w:pos="1711"/>
          <w:tab w:val="left" w:pos="2991"/>
        </w:tabs>
        <w:spacing w:before="54"/>
        <w:ind w:left="751"/>
      </w:pPr>
      <w:r>
        <w:t>组</w:t>
      </w:r>
      <w:r>
        <w:tab/>
      </w:r>
      <w:r>
        <w:t>长：王</w:t>
      </w:r>
      <w:r>
        <w:tab/>
      </w:r>
      <w:r>
        <w:t>凌（区农业农村局局长）</w:t>
      </w:r>
    </w:p>
    <w:p>
      <w:pPr>
        <w:pStyle w:val="4"/>
        <w:tabs>
          <w:tab w:val="left" w:pos="2991"/>
        </w:tabs>
        <w:spacing w:before="111" w:line="302" w:lineRule="auto"/>
        <w:ind w:left="751" w:right="755"/>
      </w:pPr>
      <w:r>
        <w:t>副 组 长：闫</w:t>
      </w:r>
      <w:r>
        <w:tab/>
      </w:r>
      <w:r>
        <w:t>军（区畜禽养殖生产管理办公室主任</w:t>
      </w:r>
      <w:r>
        <w:rPr>
          <w:spacing w:val="-13"/>
        </w:rPr>
        <w:t xml:space="preserve">） </w:t>
      </w:r>
      <w:r>
        <w:t>成员单位：区农林综合执法大队、各镇农业服务中心</w:t>
      </w:r>
    </w:p>
    <w:p>
      <w:pPr>
        <w:pStyle w:val="4"/>
        <w:spacing w:before="6" w:line="304" w:lineRule="auto"/>
        <w:ind w:left="111" w:right="230" w:firstLine="640"/>
      </w:pPr>
      <w:r>
        <w:rPr>
          <w:spacing w:val="-12"/>
          <w:w w:val="95"/>
        </w:rPr>
        <w:t xml:space="preserve">工作职责：负责统一指挥，协调各方密切配合开展我区兽药 </w:t>
      </w:r>
      <w:r>
        <w:rPr>
          <w:spacing w:val="-12"/>
        </w:rPr>
        <w:t>经营整顿工作。</w:t>
      </w:r>
    </w:p>
    <w:p>
      <w:pPr>
        <w:pStyle w:val="4"/>
        <w:spacing w:line="304" w:lineRule="auto"/>
        <w:ind w:left="111" w:right="114" w:firstLine="640"/>
      </w:pPr>
      <w:r>
        <w:rPr>
          <w:spacing w:val="-11"/>
        </w:rPr>
        <w:t>工作小组下设办公室，办公室设在区农业农村局畜禽养殖生</w:t>
      </w:r>
      <w:r>
        <w:rPr>
          <w:spacing w:val="-15"/>
        </w:rPr>
        <w:t>产管理办公室，办公室主任由闫军同志兼任；副主任由区农林综合执法大队队长（代）潘德勇同志兼任；办公室成员：陈宋卓、</w:t>
      </w:r>
      <w:r>
        <w:rPr>
          <w:spacing w:val="-14"/>
        </w:rPr>
        <w:t>邢益豪、符小虔，具体负责制定整顿工作实施方案，督促各单位开展整顿工作以及收集汇总各单位工作开展情况。</w:t>
      </w:r>
    </w:p>
    <w:p>
      <w:pPr>
        <w:pStyle w:val="4"/>
        <w:spacing w:line="304" w:lineRule="auto"/>
        <w:ind w:left="111" w:right="102" w:firstLine="640"/>
      </w:pPr>
      <w:r>
        <w:rPr>
          <w:rFonts w:hint="eastAsia" w:ascii="楷体" w:eastAsia="楷体"/>
          <w:b/>
          <w:w w:val="95"/>
        </w:rPr>
        <w:t>（二）严格行政许可。</w:t>
      </w:r>
      <w:r>
        <w:rPr>
          <w:w w:val="95"/>
        </w:rPr>
        <w:t xml:space="preserve">严格按照《兽药经营质量管理规范》 </w:t>
      </w:r>
      <w:r>
        <w:rPr>
          <w:spacing w:val="-10"/>
        </w:rPr>
        <w:t>等相关要求，严把入口关，确保高标准、信誉好、质量责任意识</w:t>
      </w:r>
      <w:r>
        <w:rPr>
          <w:spacing w:val="-16"/>
        </w:rPr>
        <w:t>强的主体进入兽药经营领域。对不符合准入条件的兽药经营企业该整改的整改，该注销的注销，该吊证的吊证，全面提升兽药经</w:t>
      </w:r>
      <w:r>
        <w:rPr>
          <w:spacing w:val="-18"/>
        </w:rPr>
        <w:t>营行为的整体水平</w:t>
      </w:r>
      <w:r>
        <w:t>（</w:t>
      </w:r>
      <w:r>
        <w:rPr>
          <w:spacing w:val="-9"/>
        </w:rPr>
        <w:t>牵头单位：区农业农村局，配合单位：区农林综合执法大队、各镇农业服务中心）。</w:t>
      </w:r>
    </w:p>
    <w:p>
      <w:pPr>
        <w:pStyle w:val="4"/>
        <w:spacing w:line="304" w:lineRule="auto"/>
        <w:ind w:left="111" w:right="231" w:firstLine="640"/>
        <w:jc w:val="both"/>
      </w:pPr>
      <w:r>
        <w:rPr>
          <w:rFonts w:hint="eastAsia" w:ascii="楷体" w:eastAsia="楷体"/>
          <w:b/>
        </w:rPr>
        <w:t>（三</w:t>
      </w:r>
      <w:r>
        <w:rPr>
          <w:rFonts w:hint="eastAsia" w:ascii="楷体" w:eastAsia="楷体"/>
          <w:b/>
          <w:spacing w:val="-41"/>
        </w:rPr>
        <w:t>）</w:t>
      </w:r>
      <w:r>
        <w:rPr>
          <w:rFonts w:hint="eastAsia" w:ascii="楷体" w:eastAsia="楷体"/>
          <w:b/>
          <w:spacing w:val="-6"/>
        </w:rPr>
        <w:t>强化日常监督。</w:t>
      </w:r>
      <w:r>
        <w:rPr>
          <w:spacing w:val="-16"/>
        </w:rPr>
        <w:t xml:space="preserve">按照《海南省兽药 </w:t>
      </w:r>
      <w:r>
        <w:t>GSP</w:t>
      </w:r>
      <w:r>
        <w:rPr>
          <w:spacing w:val="-14"/>
        </w:rPr>
        <w:t xml:space="preserve"> 检查验收评定</w:t>
      </w:r>
      <w:r>
        <w:rPr>
          <w:spacing w:val="-13"/>
          <w:w w:val="95"/>
        </w:rPr>
        <w:t xml:space="preserve">标准》，加强对兽药经营企业的后续监督检查，以确认企业是否 </w:t>
      </w:r>
      <w:r>
        <w:rPr>
          <w:spacing w:val="2"/>
        </w:rPr>
        <w:t>保持符合兽药</w:t>
      </w:r>
      <w:r>
        <w:t>GSP</w:t>
      </w:r>
      <w:r>
        <w:rPr>
          <w:spacing w:val="-16"/>
        </w:rPr>
        <w:t xml:space="preserve"> 检查验收标准、确认企业是否按照《兽药经营</w:t>
      </w:r>
      <w:r>
        <w:rPr>
          <w:spacing w:val="-15"/>
          <w:w w:val="95"/>
        </w:rPr>
        <w:t xml:space="preserve">质量管理规范》和《海南省兽药经营质量管理规范实施细则》的 </w:t>
      </w:r>
      <w:r>
        <w:rPr>
          <w:spacing w:val="-16"/>
        </w:rPr>
        <w:t>规定开展兽药经营活动，监督检查结果记录备案</w:t>
      </w:r>
      <w:r>
        <w:t>（</w:t>
      </w:r>
      <w:r>
        <w:rPr>
          <w:spacing w:val="-9"/>
        </w:rPr>
        <w:t>牵头单位：区</w:t>
      </w:r>
      <w:r>
        <w:rPr>
          <w:spacing w:val="-11"/>
          <w:w w:val="95"/>
        </w:rPr>
        <w:t xml:space="preserve">农业农村局，配合单位：区农林综合执法大队、各镇农业服务中 </w:t>
      </w:r>
      <w:r>
        <w:rPr>
          <w:spacing w:val="-11"/>
        </w:rPr>
        <w:t>心）。</w:t>
      </w:r>
    </w:p>
    <w:p>
      <w:pPr>
        <w:spacing w:before="0" w:line="304" w:lineRule="auto"/>
        <w:ind w:left="111" w:right="230" w:firstLine="640"/>
        <w:jc w:val="left"/>
        <w:rPr>
          <w:rFonts w:hint="eastAsia" w:ascii="仿宋_GB2312" w:eastAsia="仿宋_GB2312"/>
          <w:sz w:val="32"/>
        </w:rPr>
      </w:pPr>
      <w:r>
        <w:rPr>
          <w:rFonts w:hint="eastAsia" w:ascii="楷体" w:eastAsia="楷体"/>
          <w:b/>
          <w:w w:val="95"/>
          <w:sz w:val="32"/>
        </w:rPr>
        <w:t>（四</w:t>
      </w:r>
      <w:r>
        <w:rPr>
          <w:rFonts w:hint="eastAsia" w:ascii="楷体" w:eastAsia="楷体"/>
          <w:b/>
          <w:spacing w:val="-63"/>
          <w:w w:val="95"/>
          <w:sz w:val="32"/>
        </w:rPr>
        <w:t>）</w:t>
      </w:r>
      <w:r>
        <w:rPr>
          <w:rFonts w:hint="eastAsia" w:ascii="楷体" w:eastAsia="楷体"/>
          <w:b/>
          <w:spacing w:val="-7"/>
          <w:w w:val="95"/>
          <w:sz w:val="32"/>
        </w:rPr>
        <w:t>加大检查执法力度。</w:t>
      </w:r>
      <w:r>
        <w:rPr>
          <w:rFonts w:hint="eastAsia" w:ascii="仿宋_GB2312" w:eastAsia="仿宋_GB2312"/>
          <w:w w:val="95"/>
          <w:sz w:val="32"/>
        </w:rPr>
        <w:t xml:space="preserve">各单位在这次清理整顿活动中要 </w:t>
      </w:r>
      <w:r>
        <w:rPr>
          <w:rFonts w:hint="eastAsia" w:ascii="仿宋_GB2312" w:eastAsia="仿宋_GB2312"/>
          <w:spacing w:val="-11"/>
          <w:sz w:val="32"/>
        </w:rPr>
        <w:t>加大人力投入，对兽药经营资质清理整顿，对监督检查中发现不</w:t>
      </w:r>
    </w:p>
    <w:p>
      <w:pPr>
        <w:spacing w:after="0" w:line="304" w:lineRule="auto"/>
        <w:jc w:val="left"/>
        <w:rPr>
          <w:rFonts w:hint="eastAsia" w:ascii="仿宋_GB2312" w:eastAsia="仿宋_GB2312"/>
          <w:sz w:val="32"/>
        </w:rPr>
        <w:sectPr>
          <w:pgSz w:w="11910" w:h="16840"/>
          <w:pgMar w:top="1600" w:right="1300" w:bottom="1900" w:left="1420" w:header="0" w:footer="1707" w:gutter="0"/>
          <w:cols w:space="720" w:num="1"/>
        </w:sectPr>
      </w:pPr>
    </w:p>
    <w:p>
      <w:pPr>
        <w:pStyle w:val="4"/>
        <w:rPr>
          <w:sz w:val="20"/>
        </w:rPr>
      </w:pPr>
    </w:p>
    <w:p>
      <w:pPr>
        <w:pStyle w:val="4"/>
        <w:spacing w:before="54" w:line="304" w:lineRule="auto"/>
        <w:ind w:left="111" w:right="230"/>
        <w:jc w:val="both"/>
      </w:pPr>
      <w:r>
        <w:rPr>
          <w:spacing w:val="-11"/>
          <w:w w:val="95"/>
        </w:rPr>
        <w:t xml:space="preserve">符合《兽药经营质量管理规范》和《海南省兽药经营质量管理规 </w:t>
      </w:r>
      <w:r>
        <w:rPr>
          <w:spacing w:val="-14"/>
          <w:w w:val="95"/>
        </w:rPr>
        <w:t xml:space="preserve">范实施细则》要求的企业，责成限期整改。对严重违反《兽药经 </w:t>
      </w:r>
      <w:r>
        <w:rPr>
          <w:spacing w:val="-19"/>
        </w:rPr>
        <w:t xml:space="preserve">营质量管理规范》等规定的企业，依法撤销其兽药 </w:t>
      </w:r>
      <w:r>
        <w:t>GSP</w:t>
      </w:r>
      <w:r>
        <w:rPr>
          <w:spacing w:val="-19"/>
        </w:rPr>
        <w:t xml:space="preserve"> 验收合格</w:t>
      </w:r>
      <w:r>
        <w:rPr>
          <w:spacing w:val="-13"/>
          <w:w w:val="95"/>
        </w:rPr>
        <w:t xml:space="preserve">资格，吊销《兽药经营许可证》，并予以公布。清查假劣兽药并 </w:t>
      </w:r>
      <w:r>
        <w:rPr>
          <w:spacing w:val="-15"/>
        </w:rPr>
        <w:t>统一销毁，坚决打击无证经营、超范围经营等违法行为，对发现</w:t>
      </w:r>
      <w:r>
        <w:rPr>
          <w:spacing w:val="-17"/>
        </w:rPr>
        <w:t>的违法案件从严从重予以立案处罚并追根溯源</w:t>
      </w:r>
      <w:r>
        <w:t>（</w:t>
      </w:r>
      <w:r>
        <w:rPr>
          <w:spacing w:val="-11"/>
        </w:rPr>
        <w:t>牵头单位：区农</w:t>
      </w:r>
      <w:r>
        <w:t>林综合执法大队，配合单位：各镇农业服务中心）。</w:t>
      </w:r>
    </w:p>
    <w:p>
      <w:pPr>
        <w:pStyle w:val="4"/>
        <w:spacing w:line="304" w:lineRule="auto"/>
        <w:ind w:left="111" w:right="231" w:firstLine="640"/>
        <w:jc w:val="both"/>
      </w:pPr>
      <w:r>
        <w:rPr>
          <w:rFonts w:hint="eastAsia" w:ascii="楷体" w:eastAsia="楷体"/>
          <w:b/>
          <w:w w:val="95"/>
        </w:rPr>
        <w:t>（五</w:t>
      </w:r>
      <w:r>
        <w:rPr>
          <w:rFonts w:hint="eastAsia" w:ascii="楷体" w:eastAsia="楷体"/>
          <w:b/>
          <w:spacing w:val="-41"/>
          <w:w w:val="95"/>
        </w:rPr>
        <w:t>）</w:t>
      </w:r>
      <w:r>
        <w:rPr>
          <w:rFonts w:hint="eastAsia" w:ascii="楷体" w:eastAsia="楷体"/>
          <w:b/>
          <w:spacing w:val="-6"/>
          <w:w w:val="95"/>
        </w:rPr>
        <w:t>加强宣传引导。</w:t>
      </w:r>
      <w:r>
        <w:rPr>
          <w:spacing w:val="-3"/>
          <w:w w:val="95"/>
        </w:rPr>
        <w:t xml:space="preserve">各单位要利用这次清理整顿活动，告 </w:t>
      </w:r>
      <w:r>
        <w:rPr>
          <w:spacing w:val="-23"/>
          <w:w w:val="95"/>
        </w:rPr>
        <w:t>知和宣传兽药监管相关法律法规，使经营者知法、懂法、守法</w:t>
      </w:r>
      <w:r>
        <w:rPr>
          <w:w w:val="95"/>
        </w:rPr>
        <w:t xml:space="preserve">（牵  </w:t>
      </w:r>
      <w:r>
        <w:rPr>
          <w:spacing w:val="-12"/>
          <w:w w:val="95"/>
        </w:rPr>
        <w:t xml:space="preserve">头单位：区农业农村局，配合单位：区农林综合执法大队、各镇 </w:t>
      </w:r>
      <w:r>
        <w:rPr>
          <w:spacing w:val="-12"/>
        </w:rPr>
        <w:t>农业服务中心）。</w:t>
      </w:r>
    </w:p>
    <w:p>
      <w:pPr>
        <w:pStyle w:val="3"/>
        <w:spacing w:line="406" w:lineRule="exact"/>
      </w:pPr>
      <w:r>
        <w:rPr>
          <w:w w:val="95"/>
        </w:rPr>
        <w:t>五、总体要求</w:t>
      </w:r>
    </w:p>
    <w:p>
      <w:pPr>
        <w:pStyle w:val="4"/>
        <w:spacing w:before="107" w:line="304" w:lineRule="auto"/>
        <w:ind w:left="111" w:right="231" w:firstLine="640"/>
        <w:jc w:val="both"/>
      </w:pPr>
      <w:r>
        <w:rPr>
          <w:w w:val="95"/>
        </w:rPr>
        <w:t>（一</w:t>
      </w:r>
      <w:r>
        <w:rPr>
          <w:spacing w:val="-58"/>
          <w:w w:val="95"/>
        </w:rPr>
        <w:t>）</w:t>
      </w:r>
      <w:r>
        <w:rPr>
          <w:spacing w:val="-4"/>
          <w:w w:val="95"/>
        </w:rPr>
        <w:t xml:space="preserve">各单位要充分认识兽药监管工作的重要性，把清理整 </w:t>
      </w:r>
      <w:r>
        <w:rPr>
          <w:spacing w:val="-10"/>
          <w:w w:val="95"/>
        </w:rPr>
        <w:t xml:space="preserve">顿活动摆上重要议事日程，全面部署，把这项工作做实做细，使 </w:t>
      </w:r>
      <w:r>
        <w:rPr>
          <w:spacing w:val="-10"/>
        </w:rPr>
        <w:t>兽药监管工作再上新台阶。</w:t>
      </w:r>
    </w:p>
    <w:p>
      <w:pPr>
        <w:pStyle w:val="4"/>
        <w:spacing w:line="304" w:lineRule="auto"/>
        <w:ind w:left="111" w:right="231" w:firstLine="640"/>
        <w:jc w:val="both"/>
      </w:pPr>
      <w:r>
        <w:t>（二</w:t>
      </w:r>
      <w:r>
        <w:rPr>
          <w:spacing w:val="-58"/>
        </w:rPr>
        <w:t>）</w:t>
      </w:r>
      <w:r>
        <w:rPr>
          <w:spacing w:val="-7"/>
        </w:rPr>
        <w:t>请各单位按照本方案，认真组织人员开展兽药经营企</w:t>
      </w:r>
      <w:r>
        <w:rPr>
          <w:spacing w:val="-15"/>
        </w:rPr>
        <w:t xml:space="preserve">业整顿行动，严格按照《海南省兽药 </w:t>
      </w:r>
      <w:r>
        <w:t>GSP</w:t>
      </w:r>
      <w:r>
        <w:rPr>
          <w:spacing w:val="-13"/>
        </w:rPr>
        <w:t xml:space="preserve"> 检查验收评定标准》规范管理，形成长效机制。</w:t>
      </w:r>
    </w:p>
    <w:p>
      <w:pPr>
        <w:pStyle w:val="4"/>
      </w:pPr>
    </w:p>
    <w:p>
      <w:pPr>
        <w:pStyle w:val="4"/>
        <w:spacing w:before="250"/>
        <w:ind w:left="751"/>
      </w:pPr>
      <w:r>
        <w:t>附件：海南省兽药 GSP 检查验收评定标准</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
        <w:rPr>
          <w:sz w:val="10"/>
        </w:rPr>
      </w:pPr>
      <w:r>
        <w:pict>
          <v:line id="_x0000_s1027" o:spid="_x0000_s1027" o:spt="20" style="position:absolute;left:0pt;margin-left:76.55pt;margin-top:8.8pt;height:0pt;width:440.05pt;mso-position-horizontal-relative:page;mso-wrap-distance-bottom:0pt;mso-wrap-distance-top:0pt;z-index:-251655168;mso-width-relative:page;mso-height-relative:page;" stroked="t" coordsize="21600,21600">
            <v:path arrowok="t"/>
            <v:fill focussize="0,0"/>
            <v:stroke weight="0.72pt" color="#000000"/>
            <v:imagedata o:title=""/>
            <o:lock v:ext="edit"/>
            <w10:wrap type="topAndBottom"/>
          </v:line>
        </w:pict>
      </w:r>
    </w:p>
    <w:p>
      <w:pPr>
        <w:pStyle w:val="4"/>
        <w:spacing w:before="4"/>
        <w:rPr>
          <w:sz w:val="11"/>
        </w:rPr>
      </w:pPr>
    </w:p>
    <w:p>
      <w:pPr>
        <w:tabs>
          <w:tab w:val="left" w:pos="6151"/>
        </w:tabs>
        <w:spacing w:before="62"/>
        <w:ind w:left="411" w:right="0" w:firstLine="0"/>
        <w:jc w:val="left"/>
        <w:rPr>
          <w:rFonts w:hint="eastAsia" w:ascii="仿宋_GB2312" w:eastAsia="仿宋_GB2312"/>
          <w:sz w:val="28"/>
        </w:rPr>
      </w:pPr>
      <w:r>
        <w:pict>
          <v:line id="_x0000_s1028" o:spid="_x0000_s1028" o:spt="20" style="position:absolute;left:0pt;margin-left:76.55pt;margin-top:22.85pt;height:0pt;width:442.2pt;mso-position-horizontal-relative:page;mso-wrap-distance-bottom:0pt;mso-wrap-distance-top:0pt;z-index:-251654144;mso-width-relative:page;mso-height-relative:page;" stroked="t" coordsize="21600,21600">
            <v:path arrowok="t"/>
            <v:fill focussize="0,0"/>
            <v:stroke weight="0.48pt" color="#000000"/>
            <v:imagedata o:title=""/>
            <o:lock v:ext="edit"/>
            <w10:wrap type="topAndBottom"/>
          </v:line>
        </w:pict>
      </w:r>
      <w:r>
        <w:rPr>
          <w:rFonts w:hint="eastAsia" w:ascii="仿宋_GB2312" w:eastAsia="仿宋_GB2312"/>
          <w:sz w:val="28"/>
        </w:rPr>
        <w:t>海</w:t>
      </w:r>
      <w:r>
        <w:rPr>
          <w:rFonts w:hint="eastAsia" w:ascii="仿宋_GB2312" w:eastAsia="仿宋_GB2312"/>
          <w:spacing w:val="-3"/>
          <w:sz w:val="28"/>
        </w:rPr>
        <w:t>口</w:t>
      </w:r>
      <w:r>
        <w:rPr>
          <w:rFonts w:hint="eastAsia" w:ascii="仿宋_GB2312" w:eastAsia="仿宋_GB2312"/>
          <w:sz w:val="28"/>
        </w:rPr>
        <w:t>市琼</w:t>
      </w:r>
      <w:r>
        <w:rPr>
          <w:rFonts w:hint="eastAsia" w:ascii="仿宋_GB2312" w:eastAsia="仿宋_GB2312"/>
          <w:spacing w:val="-3"/>
          <w:sz w:val="28"/>
        </w:rPr>
        <w:t>山</w:t>
      </w:r>
      <w:r>
        <w:rPr>
          <w:rFonts w:hint="eastAsia" w:ascii="仿宋_GB2312" w:eastAsia="仿宋_GB2312"/>
          <w:sz w:val="28"/>
        </w:rPr>
        <w:t>区农</w:t>
      </w:r>
      <w:r>
        <w:rPr>
          <w:rFonts w:hint="eastAsia" w:ascii="仿宋_GB2312" w:eastAsia="仿宋_GB2312"/>
          <w:spacing w:val="-3"/>
          <w:sz w:val="28"/>
        </w:rPr>
        <w:t>业</w:t>
      </w:r>
      <w:r>
        <w:rPr>
          <w:rFonts w:hint="eastAsia" w:ascii="仿宋_GB2312" w:eastAsia="仿宋_GB2312"/>
          <w:sz w:val="28"/>
        </w:rPr>
        <w:t>农村</w:t>
      </w:r>
      <w:r>
        <w:rPr>
          <w:rFonts w:hint="eastAsia" w:ascii="仿宋_GB2312" w:eastAsia="仿宋_GB2312"/>
          <w:spacing w:val="-3"/>
          <w:sz w:val="28"/>
        </w:rPr>
        <w:t>局</w:t>
      </w:r>
      <w:r>
        <w:rPr>
          <w:rFonts w:hint="eastAsia" w:ascii="仿宋_GB2312" w:eastAsia="仿宋_GB2312"/>
          <w:sz w:val="28"/>
        </w:rPr>
        <w:t>办</w:t>
      </w:r>
      <w:r>
        <w:rPr>
          <w:rFonts w:hint="eastAsia" w:ascii="仿宋_GB2312" w:eastAsia="仿宋_GB2312"/>
          <w:spacing w:val="-3"/>
          <w:sz w:val="28"/>
        </w:rPr>
        <w:t>公</w:t>
      </w:r>
      <w:r>
        <w:rPr>
          <w:rFonts w:hint="eastAsia" w:ascii="仿宋_GB2312" w:eastAsia="仿宋_GB2312"/>
          <w:sz w:val="28"/>
        </w:rPr>
        <w:t>室</w:t>
      </w:r>
      <w:r>
        <w:rPr>
          <w:rFonts w:hint="eastAsia" w:ascii="仿宋_GB2312" w:eastAsia="仿宋_GB2312"/>
          <w:sz w:val="28"/>
        </w:rPr>
        <w:tab/>
      </w:r>
      <w:r>
        <w:rPr>
          <w:rFonts w:hint="eastAsia" w:ascii="仿宋_GB2312" w:eastAsia="仿宋_GB2312"/>
          <w:sz w:val="28"/>
        </w:rPr>
        <w:t>2020</w:t>
      </w:r>
      <w:r>
        <w:rPr>
          <w:rFonts w:hint="eastAsia" w:ascii="仿宋_GB2312" w:eastAsia="仿宋_GB2312"/>
          <w:spacing w:val="-72"/>
          <w:sz w:val="28"/>
        </w:rPr>
        <w:t xml:space="preserve"> </w:t>
      </w:r>
      <w:r>
        <w:rPr>
          <w:rFonts w:hint="eastAsia" w:ascii="仿宋_GB2312" w:eastAsia="仿宋_GB2312"/>
          <w:sz w:val="28"/>
        </w:rPr>
        <w:t>年</w:t>
      </w:r>
      <w:r>
        <w:rPr>
          <w:rFonts w:hint="eastAsia" w:ascii="仿宋_GB2312" w:eastAsia="仿宋_GB2312"/>
          <w:spacing w:val="-70"/>
          <w:sz w:val="28"/>
        </w:rPr>
        <w:t xml:space="preserve"> </w:t>
      </w:r>
      <w:r>
        <w:rPr>
          <w:rFonts w:hint="eastAsia" w:ascii="仿宋_GB2312" w:eastAsia="仿宋_GB2312"/>
          <w:sz w:val="28"/>
        </w:rPr>
        <w:t>4</w:t>
      </w:r>
      <w:r>
        <w:rPr>
          <w:rFonts w:hint="eastAsia" w:ascii="仿宋_GB2312" w:eastAsia="仿宋_GB2312"/>
          <w:spacing w:val="-72"/>
          <w:sz w:val="28"/>
        </w:rPr>
        <w:t xml:space="preserve"> </w:t>
      </w:r>
      <w:r>
        <w:rPr>
          <w:rFonts w:hint="eastAsia" w:ascii="仿宋_GB2312" w:eastAsia="仿宋_GB2312"/>
          <w:sz w:val="28"/>
        </w:rPr>
        <w:t>月</w:t>
      </w:r>
      <w:r>
        <w:rPr>
          <w:rFonts w:hint="eastAsia" w:ascii="仿宋_GB2312" w:eastAsia="仿宋_GB2312"/>
          <w:spacing w:val="-70"/>
          <w:sz w:val="28"/>
        </w:rPr>
        <w:t xml:space="preserve"> </w:t>
      </w:r>
      <w:r>
        <w:rPr>
          <w:rFonts w:hint="eastAsia" w:ascii="仿宋_GB2312" w:eastAsia="仿宋_GB2312"/>
          <w:sz w:val="28"/>
        </w:rPr>
        <w:t>29</w:t>
      </w:r>
      <w:r>
        <w:rPr>
          <w:rFonts w:hint="eastAsia" w:ascii="仿宋_GB2312" w:eastAsia="仿宋_GB2312"/>
          <w:spacing w:val="-72"/>
          <w:sz w:val="28"/>
        </w:rPr>
        <w:t xml:space="preserve"> </w:t>
      </w:r>
      <w:r>
        <w:rPr>
          <w:rFonts w:hint="eastAsia" w:ascii="仿宋_GB2312" w:eastAsia="仿宋_GB2312"/>
          <w:sz w:val="28"/>
        </w:rPr>
        <w:t>日</w:t>
      </w:r>
      <w:r>
        <w:rPr>
          <w:rFonts w:hint="eastAsia" w:ascii="仿宋_GB2312" w:eastAsia="仿宋_GB2312"/>
          <w:spacing w:val="-3"/>
          <w:sz w:val="28"/>
        </w:rPr>
        <w:t>印</w:t>
      </w:r>
      <w:r>
        <w:rPr>
          <w:rFonts w:hint="eastAsia" w:ascii="仿宋_GB2312" w:eastAsia="仿宋_GB2312"/>
          <w:sz w:val="28"/>
        </w:rPr>
        <w:t>发</w:t>
      </w:r>
    </w:p>
    <w:p>
      <w:pPr>
        <w:spacing w:after="0"/>
        <w:jc w:val="left"/>
        <w:rPr>
          <w:rFonts w:hint="eastAsia" w:ascii="仿宋_GB2312" w:eastAsia="仿宋_GB2312"/>
          <w:sz w:val="28"/>
        </w:rPr>
        <w:sectPr>
          <w:pgSz w:w="11910" w:h="16840"/>
          <w:pgMar w:top="1600" w:right="1300" w:bottom="1900" w:left="1420" w:header="0" w:footer="1707" w:gutter="0"/>
          <w:cols w:space="720" w:num="1"/>
        </w:sectPr>
      </w:pPr>
    </w:p>
    <w:p>
      <w:pPr>
        <w:pStyle w:val="4"/>
        <w:rPr>
          <w:sz w:val="20"/>
        </w:rPr>
      </w:pPr>
    </w:p>
    <w:p>
      <w:pPr>
        <w:pStyle w:val="4"/>
        <w:rPr>
          <w:sz w:val="20"/>
        </w:rPr>
      </w:pPr>
    </w:p>
    <w:p>
      <w:pPr>
        <w:pStyle w:val="4"/>
        <w:rPr>
          <w:sz w:val="20"/>
        </w:rPr>
      </w:pPr>
    </w:p>
    <w:p>
      <w:pPr>
        <w:pStyle w:val="4"/>
        <w:spacing w:before="11"/>
        <w:rPr>
          <w:sz w:val="20"/>
        </w:rPr>
      </w:pPr>
    </w:p>
    <w:p>
      <w:pPr>
        <w:tabs>
          <w:tab w:val="left" w:pos="7747"/>
          <w:tab w:val="left" w:pos="9667"/>
          <w:tab w:val="left" w:pos="10387"/>
          <w:tab w:val="left" w:pos="11227"/>
        </w:tabs>
        <w:spacing w:before="67"/>
        <w:ind w:left="228" w:right="0" w:firstLine="0"/>
        <w:jc w:val="left"/>
        <w:rPr>
          <w:sz w:val="24"/>
        </w:rPr>
      </w:pPr>
      <w:r>
        <w:rPr>
          <w:sz w:val="24"/>
        </w:rPr>
        <w:t>企业名称：</w:t>
      </w:r>
      <w:r>
        <w:rPr>
          <w:sz w:val="24"/>
        </w:rPr>
        <w:tab/>
      </w:r>
      <w:r>
        <w:rPr>
          <w:sz w:val="24"/>
        </w:rPr>
        <w:t>验收日期：</w:t>
      </w:r>
      <w:r>
        <w:rPr>
          <w:sz w:val="24"/>
        </w:rPr>
        <w:tab/>
      </w:r>
      <w:r>
        <w:rPr>
          <w:sz w:val="24"/>
        </w:rPr>
        <w:t>年</w:t>
      </w:r>
      <w:r>
        <w:rPr>
          <w:sz w:val="24"/>
        </w:rPr>
        <w:tab/>
      </w:r>
      <w:r>
        <w:rPr>
          <w:sz w:val="24"/>
        </w:rPr>
        <w:t>月</w:t>
      </w:r>
      <w:r>
        <w:rPr>
          <w:sz w:val="24"/>
        </w:rPr>
        <w:tab/>
      </w:r>
      <w:r>
        <w:rPr>
          <w:sz w:val="24"/>
        </w:rPr>
        <w:t>日</w:t>
      </w:r>
    </w:p>
    <w:p>
      <w:pPr>
        <w:spacing w:before="0" w:line="240" w:lineRule="auto"/>
        <w:rPr>
          <w:sz w:val="24"/>
        </w:rPr>
      </w:pPr>
    </w:p>
    <w:p>
      <w:pPr>
        <w:pStyle w:val="4"/>
        <w:spacing w:before="212"/>
        <w:ind w:left="4647" w:right="5184"/>
        <w:jc w:val="center"/>
        <w:rPr>
          <w:rFonts w:hint="eastAsia" w:ascii="黑体" w:eastAsia="黑体"/>
        </w:rPr>
      </w:pPr>
      <w:r>
        <w:rPr>
          <w:rFonts w:hint="eastAsia" w:ascii="黑体" w:eastAsia="黑体"/>
        </w:rPr>
        <w:t xml:space="preserve">海南省兽药 </w:t>
      </w:r>
      <w:r>
        <w:rPr>
          <w:rFonts w:ascii="Times New Roman" w:eastAsia="Times New Roman"/>
        </w:rPr>
        <w:t xml:space="preserve">GSP </w:t>
      </w:r>
      <w:r>
        <w:rPr>
          <w:rFonts w:hint="eastAsia" w:ascii="黑体" w:eastAsia="黑体"/>
        </w:rPr>
        <w:t>检查验收评定标准</w:t>
      </w:r>
    </w:p>
    <w:p>
      <w:pPr>
        <w:spacing w:before="237"/>
        <w:ind w:left="228" w:right="755" w:firstLine="559"/>
        <w:jc w:val="both"/>
        <w:rPr>
          <w:sz w:val="28"/>
        </w:rPr>
      </w:pPr>
      <w:r>
        <w:rPr>
          <w:rFonts w:ascii="Times New Roman" w:eastAsia="Times New Roman"/>
          <w:sz w:val="28"/>
        </w:rPr>
        <w:t>1</w:t>
      </w:r>
      <w:r>
        <w:rPr>
          <w:sz w:val="28"/>
        </w:rPr>
        <w:t>、为统一标准，规范兽药</w:t>
      </w:r>
      <w:r>
        <w:rPr>
          <w:rFonts w:ascii="Times New Roman" w:eastAsia="Times New Roman"/>
          <w:sz w:val="28"/>
        </w:rPr>
        <w:t xml:space="preserve">GSP </w:t>
      </w:r>
      <w:r>
        <w:rPr>
          <w:spacing w:val="-9"/>
          <w:sz w:val="28"/>
        </w:rPr>
        <w:t>检查验收，保证验收工作质量，根据《兽药经营质量管理规范》、《海南省兽</w:t>
      </w:r>
      <w:r>
        <w:rPr>
          <w:spacing w:val="-3"/>
          <w:sz w:val="28"/>
        </w:rPr>
        <w:t>药经营质量管理规范实施细则》，以及《海南省兽药经营质量管理规范检查验收办法》，制定本评定标准。</w:t>
      </w:r>
    </w:p>
    <w:p>
      <w:pPr>
        <w:spacing w:before="130"/>
        <w:ind w:left="787" w:right="0" w:firstLine="0"/>
        <w:jc w:val="left"/>
        <w:rPr>
          <w:sz w:val="28"/>
        </w:rPr>
      </w:pPr>
      <w:r>
        <w:rPr>
          <w:rFonts w:ascii="Times New Roman" w:hAnsi="Times New Roman" w:eastAsia="Times New Roman"/>
          <w:sz w:val="28"/>
        </w:rPr>
        <w:t>2</w:t>
      </w:r>
      <w:r>
        <w:rPr>
          <w:sz w:val="28"/>
        </w:rPr>
        <w:t>、兽药经营企业</w:t>
      </w:r>
      <w:r>
        <w:rPr>
          <w:rFonts w:ascii="Times New Roman" w:hAnsi="Times New Roman" w:eastAsia="Times New Roman"/>
          <w:sz w:val="28"/>
        </w:rPr>
        <w:t xml:space="preserve">GSP </w:t>
      </w:r>
      <w:r>
        <w:rPr>
          <w:sz w:val="28"/>
        </w:rPr>
        <w:t xml:space="preserve">现场检查项目共 </w:t>
      </w:r>
      <w:r>
        <w:rPr>
          <w:rFonts w:ascii="Times New Roman" w:hAnsi="Times New Roman" w:eastAsia="Times New Roman"/>
          <w:sz w:val="28"/>
        </w:rPr>
        <w:t xml:space="preserve">60 </w:t>
      </w:r>
      <w:r>
        <w:rPr>
          <w:sz w:val="28"/>
        </w:rPr>
        <w:t>项，其中关键项目（条款前加</w:t>
      </w:r>
      <w:r>
        <w:rPr>
          <w:rFonts w:ascii="Times New Roman" w:hAnsi="Times New Roman" w:eastAsia="Times New Roman"/>
          <w:sz w:val="28"/>
        </w:rPr>
        <w:t>“*”</w:t>
      </w:r>
      <w:r>
        <w:rPr>
          <w:sz w:val="28"/>
        </w:rPr>
        <w:t>）</w:t>
      </w:r>
      <w:r>
        <w:rPr>
          <w:rFonts w:ascii="Times New Roman" w:hAnsi="Times New Roman" w:eastAsia="Times New Roman"/>
          <w:sz w:val="28"/>
        </w:rPr>
        <w:t xml:space="preserve">16 </w:t>
      </w:r>
      <w:r>
        <w:rPr>
          <w:sz w:val="28"/>
        </w:rPr>
        <w:t xml:space="preserve">项，一般项目 </w:t>
      </w:r>
      <w:r>
        <w:rPr>
          <w:rFonts w:ascii="Times New Roman" w:hAnsi="Times New Roman" w:eastAsia="Times New Roman"/>
          <w:sz w:val="28"/>
        </w:rPr>
        <w:t xml:space="preserve">44 </w:t>
      </w:r>
      <w:r>
        <w:rPr>
          <w:sz w:val="28"/>
        </w:rPr>
        <w:t>项。</w:t>
      </w:r>
    </w:p>
    <w:p>
      <w:pPr>
        <w:spacing w:before="188"/>
        <w:ind w:left="228" w:right="626" w:firstLine="559"/>
        <w:jc w:val="both"/>
        <w:rPr>
          <w:sz w:val="28"/>
        </w:rPr>
      </w:pPr>
      <w:r>
        <w:rPr>
          <w:rFonts w:ascii="Times New Roman" w:hAnsi="Times New Roman" w:eastAsia="Times New Roman"/>
          <w:sz w:val="28"/>
        </w:rPr>
        <w:t>3</w:t>
      </w:r>
      <w:r>
        <w:rPr>
          <w:spacing w:val="-3"/>
          <w:sz w:val="28"/>
        </w:rPr>
        <w:t>、现场检查时，应对所列项目及其涵盖内容进行全面检查，并逐项作出评定。评定结果分为</w:t>
      </w:r>
      <w:r>
        <w:rPr>
          <w:rFonts w:ascii="Times New Roman" w:hAnsi="Times New Roman" w:eastAsia="Times New Roman"/>
          <w:sz w:val="28"/>
        </w:rPr>
        <w:t>“Y”</w:t>
      </w:r>
      <w:r>
        <w:rPr>
          <w:spacing w:val="-3"/>
          <w:sz w:val="28"/>
        </w:rPr>
        <w:t>和</w:t>
      </w:r>
      <w:r>
        <w:rPr>
          <w:rFonts w:ascii="Times New Roman" w:hAnsi="Times New Roman" w:eastAsia="Times New Roman"/>
          <w:sz w:val="28"/>
        </w:rPr>
        <w:t>“N”</w:t>
      </w:r>
      <w:r>
        <w:rPr>
          <w:sz w:val="28"/>
        </w:rPr>
        <w:t>二档， 凡属完整、齐全或者基本符合要求的项目，应判定为</w:t>
      </w:r>
      <w:r>
        <w:rPr>
          <w:rFonts w:ascii="Times New Roman" w:hAnsi="Times New Roman" w:eastAsia="Times New Roman"/>
          <w:sz w:val="28"/>
        </w:rPr>
        <w:t>“Y”</w:t>
      </w:r>
      <w:r>
        <w:rPr>
          <w:sz w:val="28"/>
        </w:rPr>
        <w:t>；判定某项存在明显缺陷的，打</w:t>
      </w:r>
      <w:r>
        <w:rPr>
          <w:rFonts w:ascii="Times New Roman" w:hAnsi="Times New Roman" w:eastAsia="Times New Roman"/>
          <w:sz w:val="28"/>
        </w:rPr>
        <w:t>“N”</w:t>
      </w:r>
      <w:r>
        <w:rPr>
          <w:sz w:val="28"/>
        </w:rPr>
        <w:t>；不涉及项在检查条</w:t>
      </w:r>
      <w:r>
        <w:rPr>
          <w:spacing w:val="-2"/>
          <w:sz w:val="28"/>
        </w:rPr>
        <w:t>款后画</w:t>
      </w:r>
      <w:r>
        <w:rPr>
          <w:rFonts w:ascii="Times New Roman" w:hAnsi="Times New Roman" w:eastAsia="Times New Roman"/>
          <w:sz w:val="28"/>
        </w:rPr>
        <w:t>“/”</w:t>
      </w:r>
      <w:r>
        <w:rPr>
          <w:sz w:val="28"/>
        </w:rPr>
        <w:t>。通过缺陷项类别及数量来评定是否符合兽药</w:t>
      </w:r>
      <w:r>
        <w:rPr>
          <w:rFonts w:ascii="Times New Roman" w:hAnsi="Times New Roman" w:eastAsia="Times New Roman"/>
          <w:sz w:val="28"/>
        </w:rPr>
        <w:t xml:space="preserve">GSP </w:t>
      </w:r>
      <w:r>
        <w:rPr>
          <w:spacing w:val="-3"/>
          <w:sz w:val="28"/>
        </w:rPr>
        <w:t>规定的要求。关键项目不合格的则称为严重缺陷；一般项目不合格的则称为一般缺陷。一般缺陷项目或检查中发现的其它问题严重影响兽药质量的则视同为严重缺陷， 检查员对此应调查取证，详细记录。</w:t>
      </w:r>
    </w:p>
    <w:p>
      <w:pPr>
        <w:spacing w:before="126"/>
        <w:ind w:left="228" w:right="760" w:firstLine="559"/>
        <w:jc w:val="both"/>
        <w:rPr>
          <w:sz w:val="28"/>
        </w:rPr>
      </w:pPr>
      <w:r>
        <w:rPr>
          <w:rFonts w:ascii="Times New Roman" w:eastAsia="Times New Roman"/>
          <w:sz w:val="28"/>
        </w:rPr>
        <w:t>4</w:t>
      </w:r>
      <w:r>
        <w:rPr>
          <w:sz w:val="28"/>
        </w:rPr>
        <w:t xml:space="preserve">、组织兽药 </w:t>
      </w:r>
      <w:r>
        <w:rPr>
          <w:rFonts w:ascii="Times New Roman" w:eastAsia="Times New Roman"/>
          <w:sz w:val="28"/>
        </w:rPr>
        <w:t xml:space="preserve">GSP </w:t>
      </w:r>
      <w:r>
        <w:rPr>
          <w:sz w:val="28"/>
        </w:rPr>
        <w:t>检查验收时，须以申请检查范围，按照兽药</w:t>
      </w:r>
      <w:r>
        <w:rPr>
          <w:rFonts w:ascii="Times New Roman" w:eastAsia="Times New Roman"/>
          <w:sz w:val="28"/>
        </w:rPr>
        <w:t xml:space="preserve">GSP </w:t>
      </w:r>
      <w:r>
        <w:rPr>
          <w:sz w:val="28"/>
        </w:rPr>
        <w:t>检查验收项目，确定相应的检查范围和内容。</w:t>
      </w:r>
    </w:p>
    <w:p>
      <w:pPr>
        <w:spacing w:before="3"/>
        <w:ind w:left="787" w:right="0" w:firstLine="0"/>
        <w:jc w:val="left"/>
        <w:rPr>
          <w:sz w:val="28"/>
        </w:rPr>
      </w:pPr>
      <w:r>
        <w:rPr>
          <w:rFonts w:ascii="Times New Roman" w:eastAsia="Times New Roman"/>
          <w:sz w:val="28"/>
        </w:rPr>
        <w:t>5</w:t>
      </w:r>
      <w:r>
        <w:rPr>
          <w:sz w:val="28"/>
        </w:rPr>
        <w:t>、结果评定：</w:t>
      </w: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40"/>
        <w:gridCol w:w="3780"/>
        <w:gridCol w:w="6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520" w:type="dxa"/>
            <w:gridSpan w:val="2"/>
          </w:tcPr>
          <w:p>
            <w:pPr>
              <w:pStyle w:val="9"/>
              <w:tabs>
                <w:tab w:val="left" w:pos="1972"/>
              </w:tabs>
              <w:spacing w:before="3" w:line="336" w:lineRule="exact"/>
              <w:ind w:left="11"/>
              <w:jc w:val="center"/>
              <w:rPr>
                <w:sz w:val="28"/>
              </w:rPr>
            </w:pPr>
            <w:r>
              <w:rPr>
                <w:sz w:val="28"/>
              </w:rPr>
              <w:t>项</w:t>
            </w:r>
            <w:r>
              <w:rPr>
                <w:sz w:val="28"/>
              </w:rPr>
              <w:tab/>
            </w:r>
            <w:r>
              <w:rPr>
                <w:sz w:val="28"/>
              </w:rPr>
              <w:t>目</w:t>
            </w:r>
          </w:p>
        </w:tc>
        <w:tc>
          <w:tcPr>
            <w:tcW w:w="6560" w:type="dxa"/>
            <w:vMerge w:val="restart"/>
          </w:tcPr>
          <w:p>
            <w:pPr>
              <w:pStyle w:val="9"/>
              <w:tabs>
                <w:tab w:val="left" w:pos="991"/>
              </w:tabs>
              <w:spacing w:before="188"/>
              <w:ind w:left="9"/>
              <w:jc w:val="center"/>
              <w:rPr>
                <w:sz w:val="28"/>
              </w:rPr>
            </w:pPr>
            <w:r>
              <w:rPr>
                <w:sz w:val="28"/>
              </w:rPr>
              <w:t>结</w:t>
            </w:r>
            <w:r>
              <w:rPr>
                <w:sz w:val="28"/>
              </w:rPr>
              <w:tab/>
            </w:r>
            <w:r>
              <w:rPr>
                <w:sz w:val="28"/>
              </w:rPr>
              <w:t>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740" w:type="dxa"/>
          </w:tcPr>
          <w:p>
            <w:pPr>
              <w:pStyle w:val="9"/>
              <w:spacing w:before="3" w:line="337" w:lineRule="exact"/>
              <w:ind w:left="1290" w:right="1279"/>
              <w:jc w:val="center"/>
              <w:rPr>
                <w:sz w:val="28"/>
              </w:rPr>
            </w:pPr>
            <w:r>
              <w:rPr>
                <w:sz w:val="28"/>
              </w:rPr>
              <w:t>严重缺陷</w:t>
            </w:r>
          </w:p>
        </w:tc>
        <w:tc>
          <w:tcPr>
            <w:tcW w:w="3780" w:type="dxa"/>
          </w:tcPr>
          <w:p>
            <w:pPr>
              <w:pStyle w:val="9"/>
              <w:spacing w:before="3" w:line="337" w:lineRule="exact"/>
              <w:ind w:left="1309" w:right="1301"/>
              <w:jc w:val="center"/>
              <w:rPr>
                <w:sz w:val="28"/>
              </w:rPr>
            </w:pPr>
            <w:r>
              <w:rPr>
                <w:sz w:val="28"/>
              </w:rPr>
              <w:t>一般缺陷</w:t>
            </w:r>
          </w:p>
        </w:tc>
        <w:tc>
          <w:tcPr>
            <w:tcW w:w="65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740" w:type="dxa"/>
          </w:tcPr>
          <w:p>
            <w:pPr>
              <w:pStyle w:val="9"/>
              <w:spacing w:before="21" w:line="318" w:lineRule="exact"/>
              <w:ind w:left="10"/>
              <w:jc w:val="center"/>
              <w:rPr>
                <w:rFonts w:ascii="Times New Roman"/>
                <w:sz w:val="28"/>
              </w:rPr>
            </w:pPr>
            <w:r>
              <w:rPr>
                <w:rFonts w:ascii="Times New Roman"/>
                <w:w w:val="100"/>
                <w:sz w:val="28"/>
              </w:rPr>
              <w:t>0</w:t>
            </w:r>
          </w:p>
        </w:tc>
        <w:tc>
          <w:tcPr>
            <w:tcW w:w="3780" w:type="dxa"/>
          </w:tcPr>
          <w:p>
            <w:pPr>
              <w:pStyle w:val="9"/>
              <w:spacing w:before="3" w:line="337" w:lineRule="exact"/>
              <w:ind w:left="1309" w:right="1299"/>
              <w:jc w:val="center"/>
              <w:rPr>
                <w:sz w:val="28"/>
              </w:rPr>
            </w:pPr>
            <w:r>
              <w:rPr>
                <w:sz w:val="28"/>
              </w:rPr>
              <w:t>≤</w:t>
            </w:r>
            <w:r>
              <w:rPr>
                <w:rFonts w:ascii="Times New Roman" w:hAnsi="Times New Roman" w:eastAsia="Times New Roman"/>
                <w:sz w:val="28"/>
              </w:rPr>
              <w:t xml:space="preserve">8 </w:t>
            </w:r>
            <w:r>
              <w:rPr>
                <w:sz w:val="28"/>
              </w:rPr>
              <w:t>项</w:t>
            </w:r>
          </w:p>
        </w:tc>
        <w:tc>
          <w:tcPr>
            <w:tcW w:w="6560" w:type="dxa"/>
          </w:tcPr>
          <w:p>
            <w:pPr>
              <w:pStyle w:val="9"/>
              <w:spacing w:before="3" w:line="337" w:lineRule="exact"/>
              <w:ind w:left="1832"/>
              <w:rPr>
                <w:sz w:val="28"/>
              </w:rPr>
            </w:pPr>
            <w:r>
              <w:rPr>
                <w:sz w:val="28"/>
              </w:rPr>
              <w:t>通过兽药</w:t>
            </w:r>
            <w:r>
              <w:rPr>
                <w:rFonts w:ascii="Times New Roman" w:eastAsia="Times New Roman"/>
                <w:sz w:val="28"/>
              </w:rPr>
              <w:t xml:space="preserve">GSP </w:t>
            </w:r>
            <w:r>
              <w:rPr>
                <w:sz w:val="28"/>
              </w:rPr>
              <w:t>检查验收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740" w:type="dxa"/>
          </w:tcPr>
          <w:p>
            <w:pPr>
              <w:pStyle w:val="9"/>
              <w:spacing w:before="21" w:line="319" w:lineRule="exact"/>
              <w:ind w:left="10"/>
              <w:jc w:val="center"/>
              <w:rPr>
                <w:rFonts w:ascii="Times New Roman"/>
                <w:sz w:val="28"/>
              </w:rPr>
            </w:pPr>
            <w:r>
              <w:rPr>
                <w:rFonts w:ascii="Times New Roman"/>
                <w:w w:val="100"/>
                <w:sz w:val="28"/>
              </w:rPr>
              <w:t>0</w:t>
            </w:r>
          </w:p>
        </w:tc>
        <w:tc>
          <w:tcPr>
            <w:tcW w:w="3780" w:type="dxa"/>
          </w:tcPr>
          <w:p>
            <w:pPr>
              <w:pStyle w:val="9"/>
              <w:spacing w:before="2" w:line="337" w:lineRule="exact"/>
              <w:ind w:left="1309" w:right="1299"/>
              <w:jc w:val="center"/>
              <w:rPr>
                <w:sz w:val="28"/>
              </w:rPr>
            </w:pPr>
            <w:r>
              <w:rPr>
                <w:sz w:val="28"/>
              </w:rPr>
              <w:t>＞</w:t>
            </w:r>
            <w:r>
              <w:rPr>
                <w:rFonts w:ascii="Times New Roman" w:eastAsia="Times New Roman"/>
                <w:sz w:val="28"/>
              </w:rPr>
              <w:t xml:space="preserve">8 </w:t>
            </w:r>
            <w:r>
              <w:rPr>
                <w:sz w:val="28"/>
              </w:rPr>
              <w:t>项</w:t>
            </w:r>
          </w:p>
        </w:tc>
        <w:tc>
          <w:tcPr>
            <w:tcW w:w="6560" w:type="dxa"/>
            <w:vMerge w:val="restart"/>
          </w:tcPr>
          <w:p>
            <w:pPr>
              <w:pStyle w:val="9"/>
              <w:spacing w:before="187"/>
              <w:ind w:left="1693"/>
              <w:rPr>
                <w:sz w:val="28"/>
              </w:rPr>
            </w:pPr>
            <w:r>
              <w:rPr>
                <w:sz w:val="28"/>
              </w:rPr>
              <w:t>不通过兽药</w:t>
            </w:r>
            <w:r>
              <w:rPr>
                <w:rFonts w:ascii="Times New Roman" w:eastAsia="Times New Roman"/>
                <w:sz w:val="28"/>
              </w:rPr>
              <w:t xml:space="preserve">GSP </w:t>
            </w:r>
            <w:r>
              <w:rPr>
                <w:sz w:val="28"/>
              </w:rPr>
              <w:t>检查验收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740" w:type="dxa"/>
          </w:tcPr>
          <w:p>
            <w:pPr>
              <w:pStyle w:val="9"/>
              <w:spacing w:before="2" w:line="338" w:lineRule="exact"/>
              <w:ind w:left="1289" w:right="1279"/>
              <w:jc w:val="center"/>
              <w:rPr>
                <w:rFonts w:ascii="Times New Roman" w:hAnsi="Times New Roman"/>
                <w:sz w:val="28"/>
              </w:rPr>
            </w:pPr>
            <w:r>
              <w:rPr>
                <w:sz w:val="28"/>
              </w:rPr>
              <w:t>≥</w:t>
            </w:r>
            <w:r>
              <w:rPr>
                <w:rFonts w:ascii="Times New Roman" w:hAnsi="Times New Roman"/>
                <w:sz w:val="28"/>
              </w:rPr>
              <w:t>1</w:t>
            </w:r>
          </w:p>
        </w:tc>
        <w:tc>
          <w:tcPr>
            <w:tcW w:w="3780" w:type="dxa"/>
          </w:tcPr>
          <w:p>
            <w:pPr>
              <w:pStyle w:val="9"/>
              <w:spacing w:before="2" w:line="338" w:lineRule="exact"/>
              <w:ind w:left="8"/>
              <w:jc w:val="center"/>
              <w:rPr>
                <w:sz w:val="28"/>
              </w:rPr>
            </w:pPr>
            <w:r>
              <w:rPr>
                <w:w w:val="100"/>
                <w:sz w:val="28"/>
              </w:rPr>
              <w:t>－</w:t>
            </w:r>
          </w:p>
        </w:tc>
        <w:tc>
          <w:tcPr>
            <w:tcW w:w="6560" w:type="dxa"/>
            <w:vMerge w:val="continue"/>
            <w:tcBorders>
              <w:top w:val="nil"/>
            </w:tcBorders>
          </w:tcPr>
          <w:p>
            <w:pPr>
              <w:rPr>
                <w:sz w:val="2"/>
                <w:szCs w:val="2"/>
              </w:rPr>
            </w:pPr>
          </w:p>
        </w:tc>
      </w:tr>
    </w:tbl>
    <w:p>
      <w:pPr>
        <w:spacing w:after="0"/>
        <w:rPr>
          <w:sz w:val="2"/>
          <w:szCs w:val="2"/>
        </w:rPr>
        <w:sectPr>
          <w:footerReference r:id="rId6" w:type="default"/>
          <w:pgSz w:w="16840" w:h="11910" w:orient="landscape"/>
          <w:pgMar w:top="1100" w:right="660" w:bottom="1100" w:left="1320" w:header="0" w:footer="909" w:gutter="0"/>
          <w:pgNumType w:start="1"/>
          <w:cols w:space="720" w:num="1"/>
        </w:sectPr>
      </w:pPr>
    </w:p>
    <w:p>
      <w:pPr>
        <w:spacing w:before="0" w:line="240" w:lineRule="auto"/>
        <w:rPr>
          <w:sz w:val="20"/>
        </w:rPr>
      </w:pPr>
    </w:p>
    <w:p>
      <w:pPr>
        <w:spacing w:before="0" w:line="240" w:lineRule="auto"/>
        <w:rPr>
          <w:sz w:val="20"/>
        </w:rPr>
      </w:pPr>
    </w:p>
    <w:p>
      <w:pPr>
        <w:spacing w:before="7" w:line="240" w:lineRule="auto"/>
        <w:rPr>
          <w:sz w:val="17"/>
        </w:rPr>
      </w:pPr>
    </w:p>
    <w:p>
      <w:pPr>
        <w:spacing w:before="20"/>
        <w:ind w:left="4529" w:right="5184" w:firstLine="0"/>
        <w:jc w:val="center"/>
        <w:rPr>
          <w:sz w:val="28"/>
        </w:rPr>
      </w:pPr>
      <w:r>
        <w:rPr>
          <w:sz w:val="28"/>
        </w:rPr>
        <w:t>海南省兽药</w:t>
      </w:r>
      <w:r>
        <w:rPr>
          <w:rFonts w:hint="eastAsia" w:ascii="方正小标宋简体" w:eastAsia="方正小标宋简体"/>
          <w:sz w:val="28"/>
        </w:rPr>
        <w:t xml:space="preserve">GSP </w:t>
      </w:r>
      <w:r>
        <w:rPr>
          <w:sz w:val="28"/>
        </w:rPr>
        <w:t>检查验收评分表</w:t>
      </w:r>
    </w:p>
    <w:p>
      <w:pPr>
        <w:spacing w:before="1" w:line="240" w:lineRule="auto"/>
        <w:rPr>
          <w:sz w:val="5"/>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616"/>
        <w:gridCol w:w="12920"/>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47" w:type="dxa"/>
          </w:tcPr>
          <w:p>
            <w:pPr>
              <w:pStyle w:val="9"/>
              <w:spacing w:before="28"/>
              <w:ind w:left="172"/>
              <w:rPr>
                <w:b/>
                <w:sz w:val="20"/>
              </w:rPr>
            </w:pPr>
            <w:r>
              <w:rPr>
                <w:b/>
                <w:w w:val="99"/>
                <w:sz w:val="20"/>
              </w:rPr>
              <w:t>序</w:t>
            </w:r>
          </w:p>
          <w:p>
            <w:pPr>
              <w:pStyle w:val="9"/>
              <w:spacing w:before="56"/>
              <w:ind w:left="172"/>
              <w:rPr>
                <w:b/>
                <w:sz w:val="20"/>
              </w:rPr>
            </w:pPr>
            <w:r>
              <w:rPr>
                <w:b/>
                <w:w w:val="99"/>
                <w:sz w:val="20"/>
              </w:rPr>
              <w:t>号</w:t>
            </w:r>
          </w:p>
        </w:tc>
        <w:tc>
          <w:tcPr>
            <w:tcW w:w="616" w:type="dxa"/>
          </w:tcPr>
          <w:p>
            <w:pPr>
              <w:pStyle w:val="9"/>
              <w:spacing w:before="28"/>
              <w:ind w:left="208"/>
              <w:rPr>
                <w:b/>
                <w:sz w:val="20"/>
              </w:rPr>
            </w:pPr>
            <w:r>
              <w:rPr>
                <w:b/>
                <w:w w:val="99"/>
                <w:sz w:val="20"/>
              </w:rPr>
              <w:t>章</w:t>
            </w:r>
          </w:p>
          <w:p>
            <w:pPr>
              <w:pStyle w:val="9"/>
              <w:spacing w:before="56"/>
              <w:ind w:left="208"/>
              <w:rPr>
                <w:b/>
                <w:sz w:val="20"/>
              </w:rPr>
            </w:pPr>
            <w:r>
              <w:rPr>
                <w:b/>
                <w:w w:val="99"/>
                <w:sz w:val="20"/>
              </w:rPr>
              <w:t>节</w:t>
            </w:r>
          </w:p>
        </w:tc>
        <w:tc>
          <w:tcPr>
            <w:tcW w:w="12920" w:type="dxa"/>
          </w:tcPr>
          <w:p>
            <w:pPr>
              <w:pStyle w:val="9"/>
              <w:spacing w:before="5"/>
              <w:rPr>
                <w:sz w:val="14"/>
              </w:rPr>
            </w:pPr>
          </w:p>
          <w:p>
            <w:pPr>
              <w:pStyle w:val="9"/>
              <w:ind w:left="6039" w:right="6027"/>
              <w:jc w:val="center"/>
              <w:rPr>
                <w:b/>
                <w:sz w:val="20"/>
              </w:rPr>
            </w:pPr>
            <w:r>
              <w:rPr>
                <w:b/>
                <w:sz w:val="20"/>
              </w:rPr>
              <w:t>检查内容</w:t>
            </w:r>
          </w:p>
        </w:tc>
        <w:tc>
          <w:tcPr>
            <w:tcW w:w="537" w:type="dxa"/>
          </w:tcPr>
          <w:p>
            <w:pPr>
              <w:pStyle w:val="9"/>
              <w:spacing w:before="28"/>
              <w:ind w:left="167"/>
              <w:rPr>
                <w:b/>
                <w:sz w:val="20"/>
              </w:rPr>
            </w:pPr>
            <w:r>
              <w:rPr>
                <w:b/>
                <w:w w:val="99"/>
                <w:sz w:val="20"/>
              </w:rPr>
              <w:t>结</w:t>
            </w:r>
          </w:p>
          <w:p>
            <w:pPr>
              <w:pStyle w:val="9"/>
              <w:spacing w:before="56"/>
              <w:ind w:left="167"/>
              <w:rPr>
                <w:b/>
                <w:sz w:val="20"/>
              </w:rPr>
            </w:pPr>
            <w:r>
              <w:rPr>
                <w:b/>
                <w:w w:val="99"/>
                <w:sz w:val="20"/>
              </w:rPr>
              <w:t>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7" w:type="dxa"/>
            <w:tcBorders>
              <w:bottom w:val="nil"/>
            </w:tcBorders>
          </w:tcPr>
          <w:p>
            <w:pPr>
              <w:pStyle w:val="9"/>
              <w:rPr>
                <w:rFonts w:ascii="Times New Roman"/>
                <w:sz w:val="20"/>
              </w:rPr>
            </w:pPr>
          </w:p>
        </w:tc>
        <w:tc>
          <w:tcPr>
            <w:tcW w:w="616" w:type="dxa"/>
            <w:tcBorders>
              <w:bottom w:val="nil"/>
            </w:tcBorders>
          </w:tcPr>
          <w:p>
            <w:pPr>
              <w:pStyle w:val="9"/>
              <w:rPr>
                <w:rFonts w:ascii="Times New Roman"/>
                <w:sz w:val="20"/>
              </w:rPr>
            </w:pPr>
          </w:p>
        </w:tc>
        <w:tc>
          <w:tcPr>
            <w:tcW w:w="12920" w:type="dxa"/>
            <w:tcBorders>
              <w:bottom w:val="nil"/>
            </w:tcBorders>
          </w:tcPr>
          <w:p>
            <w:pPr>
              <w:pStyle w:val="9"/>
              <w:spacing w:before="28"/>
              <w:ind w:left="108"/>
              <w:rPr>
                <w:sz w:val="20"/>
              </w:rPr>
            </w:pPr>
            <w:r>
              <w:rPr>
                <w:sz w:val="20"/>
              </w:rPr>
              <w:t>从事兽药经营企业的营业场所、仓库面积和所需设施、设备应当与经营的兽药品种、经营规模相适应，并符合以下规定：</w:t>
            </w:r>
          </w:p>
        </w:tc>
        <w:tc>
          <w:tcPr>
            <w:tcW w:w="537" w:type="dxa"/>
            <w:vMerge w:val="restart"/>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7" w:type="dxa"/>
            <w:tcBorders>
              <w:top w:val="nil"/>
              <w:bottom w:val="nil"/>
            </w:tcBorders>
          </w:tcPr>
          <w:p>
            <w:pPr>
              <w:pStyle w:val="9"/>
              <w:rPr>
                <w:rFonts w:ascii="Times New Roman"/>
                <w:sz w:val="20"/>
              </w:rPr>
            </w:pPr>
          </w:p>
        </w:tc>
        <w:tc>
          <w:tcPr>
            <w:tcW w:w="616" w:type="dxa"/>
            <w:tcBorders>
              <w:top w:val="nil"/>
              <w:bottom w:val="nil"/>
            </w:tcBorders>
          </w:tcPr>
          <w:p>
            <w:pPr>
              <w:pStyle w:val="9"/>
              <w:rPr>
                <w:rFonts w:ascii="Times New Roman"/>
                <w:sz w:val="20"/>
              </w:rPr>
            </w:pPr>
          </w:p>
        </w:tc>
        <w:tc>
          <w:tcPr>
            <w:tcW w:w="12920" w:type="dxa"/>
            <w:tcBorders>
              <w:top w:val="nil"/>
              <w:bottom w:val="nil"/>
            </w:tcBorders>
          </w:tcPr>
          <w:p>
            <w:pPr>
              <w:pStyle w:val="9"/>
              <w:spacing w:before="22"/>
              <w:ind w:left="108"/>
              <w:rPr>
                <w:sz w:val="20"/>
              </w:rPr>
            </w:pPr>
            <w:r>
              <w:rPr>
                <w:sz w:val="20"/>
              </w:rPr>
              <w:t>（一）在市、县城区设立的兽药经营企业，营业场所面积不少于 30 平方米，仓库面积不少于 25 平方米。</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7" w:type="dxa"/>
            <w:tcBorders>
              <w:top w:val="nil"/>
              <w:bottom w:val="nil"/>
            </w:tcBorders>
          </w:tcPr>
          <w:p>
            <w:pPr>
              <w:pStyle w:val="9"/>
              <w:spacing w:before="22"/>
              <w:ind w:left="172"/>
              <w:rPr>
                <w:sz w:val="20"/>
              </w:rPr>
            </w:pPr>
            <w:r>
              <w:rPr>
                <w:sz w:val="20"/>
              </w:rPr>
              <w:t>*1</w:t>
            </w:r>
          </w:p>
        </w:tc>
        <w:tc>
          <w:tcPr>
            <w:tcW w:w="616" w:type="dxa"/>
            <w:tcBorders>
              <w:top w:val="nil"/>
              <w:bottom w:val="nil"/>
            </w:tcBorders>
          </w:tcPr>
          <w:p>
            <w:pPr>
              <w:pStyle w:val="9"/>
              <w:rPr>
                <w:rFonts w:ascii="Times New Roman"/>
                <w:sz w:val="20"/>
              </w:rPr>
            </w:pPr>
          </w:p>
        </w:tc>
        <w:tc>
          <w:tcPr>
            <w:tcW w:w="12920" w:type="dxa"/>
            <w:tcBorders>
              <w:top w:val="nil"/>
              <w:bottom w:val="nil"/>
            </w:tcBorders>
          </w:tcPr>
          <w:p>
            <w:pPr>
              <w:pStyle w:val="9"/>
              <w:spacing w:before="22"/>
              <w:ind w:left="108"/>
              <w:rPr>
                <w:sz w:val="20"/>
              </w:rPr>
            </w:pPr>
            <w:r>
              <w:rPr>
                <w:sz w:val="20"/>
              </w:rPr>
              <w:t>（二）在乡镇区域设立的兽药经营企业，营业场所面积不少于 25 平方米，仓库面积不少于 20 平方米。</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547" w:type="dxa"/>
            <w:tcBorders>
              <w:top w:val="nil"/>
              <w:bottom w:val="nil"/>
            </w:tcBorders>
          </w:tcPr>
          <w:p>
            <w:pPr>
              <w:pStyle w:val="9"/>
              <w:rPr>
                <w:rFonts w:ascii="Times New Roman"/>
                <w:sz w:val="20"/>
              </w:rPr>
            </w:pPr>
          </w:p>
        </w:tc>
        <w:tc>
          <w:tcPr>
            <w:tcW w:w="616" w:type="dxa"/>
            <w:tcBorders>
              <w:top w:val="nil"/>
              <w:bottom w:val="nil"/>
            </w:tcBorders>
          </w:tcPr>
          <w:p>
            <w:pPr>
              <w:pStyle w:val="9"/>
              <w:rPr>
                <w:rFonts w:ascii="Times New Roman"/>
                <w:sz w:val="20"/>
              </w:rPr>
            </w:pPr>
          </w:p>
        </w:tc>
        <w:tc>
          <w:tcPr>
            <w:tcW w:w="12920" w:type="dxa"/>
            <w:tcBorders>
              <w:top w:val="nil"/>
              <w:bottom w:val="nil"/>
            </w:tcBorders>
          </w:tcPr>
          <w:p>
            <w:pPr>
              <w:pStyle w:val="9"/>
              <w:spacing w:before="22"/>
              <w:ind w:left="108"/>
              <w:rPr>
                <w:sz w:val="20"/>
              </w:rPr>
            </w:pPr>
            <w:r>
              <w:rPr>
                <w:sz w:val="20"/>
              </w:rPr>
              <w:t>（三）从事兽用生物制品经营企业，应设置生物制品专用库，其面积应不少于 30 平方米。</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 w:hRule="atLeast"/>
        </w:trPr>
        <w:tc>
          <w:tcPr>
            <w:tcW w:w="547" w:type="dxa"/>
            <w:tcBorders>
              <w:top w:val="nil"/>
            </w:tcBorders>
          </w:tcPr>
          <w:p>
            <w:pPr>
              <w:pStyle w:val="9"/>
              <w:rPr>
                <w:rFonts w:ascii="Times New Roman"/>
                <w:sz w:val="20"/>
              </w:rPr>
            </w:pPr>
          </w:p>
        </w:tc>
        <w:tc>
          <w:tcPr>
            <w:tcW w:w="616" w:type="dxa"/>
            <w:tcBorders>
              <w:top w:val="nil"/>
              <w:bottom w:val="nil"/>
            </w:tcBorders>
          </w:tcPr>
          <w:p>
            <w:pPr>
              <w:pStyle w:val="9"/>
              <w:rPr>
                <w:rFonts w:ascii="Times New Roman"/>
                <w:sz w:val="20"/>
              </w:rPr>
            </w:pPr>
          </w:p>
        </w:tc>
        <w:tc>
          <w:tcPr>
            <w:tcW w:w="12920" w:type="dxa"/>
            <w:tcBorders>
              <w:top w:val="nil"/>
            </w:tcBorders>
          </w:tcPr>
          <w:p>
            <w:pPr>
              <w:pStyle w:val="9"/>
              <w:spacing w:before="22"/>
              <w:ind w:left="108"/>
              <w:rPr>
                <w:sz w:val="20"/>
              </w:rPr>
            </w:pPr>
            <w:r>
              <w:rPr>
                <w:sz w:val="20"/>
              </w:rPr>
              <w:t>（四）专门从事批发的兽药经营企业，营业场所面积应不少于 30 平方米，仓库面积应不少于 100 平方米。</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7" w:type="dxa"/>
          </w:tcPr>
          <w:p>
            <w:pPr>
              <w:pStyle w:val="9"/>
              <w:spacing w:before="28"/>
              <w:ind w:left="222"/>
              <w:rPr>
                <w:sz w:val="20"/>
              </w:rPr>
            </w:pPr>
            <w:r>
              <w:rPr>
                <w:w w:val="99"/>
                <w:sz w:val="20"/>
              </w:rPr>
              <w:t>2</w:t>
            </w:r>
          </w:p>
        </w:tc>
        <w:tc>
          <w:tcPr>
            <w:tcW w:w="616" w:type="dxa"/>
            <w:tcBorders>
              <w:top w:val="nil"/>
              <w:bottom w:val="nil"/>
            </w:tcBorders>
          </w:tcPr>
          <w:p>
            <w:pPr>
              <w:pStyle w:val="9"/>
              <w:rPr>
                <w:rFonts w:ascii="Times New Roman"/>
                <w:sz w:val="20"/>
              </w:rPr>
            </w:pPr>
          </w:p>
        </w:tc>
        <w:tc>
          <w:tcPr>
            <w:tcW w:w="12920" w:type="dxa"/>
          </w:tcPr>
          <w:p>
            <w:pPr>
              <w:pStyle w:val="9"/>
              <w:spacing w:before="28"/>
              <w:ind w:left="108"/>
              <w:rPr>
                <w:sz w:val="20"/>
              </w:rPr>
            </w:pPr>
            <w:r>
              <w:rPr>
                <w:sz w:val="20"/>
              </w:rPr>
              <w:t>兽药经营区域与生活区域、动物诊疗区域应当分别独立设置，避免交叉污染。</w:t>
            </w:r>
          </w:p>
        </w:tc>
        <w:tc>
          <w:tcPr>
            <w:tcW w:w="5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47" w:type="dxa"/>
          </w:tcPr>
          <w:p>
            <w:pPr>
              <w:pStyle w:val="9"/>
              <w:spacing w:before="27"/>
              <w:ind w:left="222"/>
              <w:rPr>
                <w:sz w:val="20"/>
              </w:rPr>
            </w:pPr>
            <w:r>
              <w:rPr>
                <w:w w:val="99"/>
                <w:sz w:val="20"/>
              </w:rPr>
              <w:t>3</w:t>
            </w:r>
          </w:p>
        </w:tc>
        <w:tc>
          <w:tcPr>
            <w:tcW w:w="616" w:type="dxa"/>
            <w:tcBorders>
              <w:top w:val="nil"/>
              <w:bottom w:val="nil"/>
            </w:tcBorders>
          </w:tcPr>
          <w:p>
            <w:pPr>
              <w:pStyle w:val="9"/>
              <w:rPr>
                <w:rFonts w:ascii="Times New Roman"/>
                <w:sz w:val="20"/>
              </w:rPr>
            </w:pPr>
          </w:p>
        </w:tc>
        <w:tc>
          <w:tcPr>
            <w:tcW w:w="12920" w:type="dxa"/>
          </w:tcPr>
          <w:p>
            <w:pPr>
              <w:pStyle w:val="9"/>
              <w:spacing w:before="27"/>
              <w:ind w:left="108"/>
              <w:rPr>
                <w:sz w:val="20"/>
              </w:rPr>
            </w:pPr>
            <w:r>
              <w:rPr>
                <w:sz w:val="20"/>
              </w:rPr>
              <w:t>兽药经营企业的经营地点应当与《兽药经营许可证》载明的地点一致。《兽药经营许可证》应当悬挂在经营场所的显著位置。</w:t>
            </w:r>
          </w:p>
        </w:tc>
        <w:tc>
          <w:tcPr>
            <w:tcW w:w="5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 w:hRule="atLeast"/>
        </w:trPr>
        <w:tc>
          <w:tcPr>
            <w:tcW w:w="547" w:type="dxa"/>
            <w:tcBorders>
              <w:bottom w:val="nil"/>
            </w:tcBorders>
          </w:tcPr>
          <w:p>
            <w:pPr>
              <w:pStyle w:val="9"/>
              <w:rPr>
                <w:rFonts w:ascii="Times New Roman"/>
                <w:sz w:val="20"/>
              </w:rPr>
            </w:pPr>
          </w:p>
        </w:tc>
        <w:tc>
          <w:tcPr>
            <w:tcW w:w="616" w:type="dxa"/>
            <w:tcBorders>
              <w:top w:val="nil"/>
              <w:bottom w:val="nil"/>
            </w:tcBorders>
          </w:tcPr>
          <w:p>
            <w:pPr>
              <w:pStyle w:val="9"/>
              <w:rPr>
                <w:rFonts w:ascii="Times New Roman"/>
                <w:sz w:val="20"/>
              </w:rPr>
            </w:pPr>
          </w:p>
        </w:tc>
        <w:tc>
          <w:tcPr>
            <w:tcW w:w="12920" w:type="dxa"/>
            <w:tcBorders>
              <w:bottom w:val="nil"/>
            </w:tcBorders>
          </w:tcPr>
          <w:p>
            <w:pPr>
              <w:pStyle w:val="9"/>
              <w:spacing w:before="27"/>
              <w:ind w:left="108"/>
              <w:rPr>
                <w:sz w:val="20"/>
              </w:rPr>
            </w:pPr>
            <w:r>
              <w:rPr>
                <w:sz w:val="20"/>
              </w:rPr>
              <w:t>兽药经营场所和仓库应当布局合理，相对独立，其设置应符合以下规定：</w:t>
            </w:r>
          </w:p>
        </w:tc>
        <w:tc>
          <w:tcPr>
            <w:tcW w:w="537" w:type="dxa"/>
            <w:vMerge w:val="restart"/>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547" w:type="dxa"/>
            <w:tcBorders>
              <w:top w:val="nil"/>
              <w:bottom w:val="nil"/>
            </w:tcBorders>
          </w:tcPr>
          <w:p>
            <w:pPr>
              <w:pStyle w:val="9"/>
              <w:rPr>
                <w:rFonts w:ascii="Times New Roman"/>
                <w:sz w:val="20"/>
              </w:rPr>
            </w:pPr>
          </w:p>
        </w:tc>
        <w:tc>
          <w:tcPr>
            <w:tcW w:w="616" w:type="dxa"/>
            <w:tcBorders>
              <w:top w:val="nil"/>
              <w:bottom w:val="nil"/>
            </w:tcBorders>
          </w:tcPr>
          <w:p>
            <w:pPr>
              <w:pStyle w:val="9"/>
              <w:rPr>
                <w:rFonts w:ascii="Times New Roman"/>
                <w:sz w:val="20"/>
              </w:rPr>
            </w:pPr>
          </w:p>
        </w:tc>
        <w:tc>
          <w:tcPr>
            <w:tcW w:w="12920" w:type="dxa"/>
            <w:tcBorders>
              <w:top w:val="nil"/>
              <w:bottom w:val="nil"/>
            </w:tcBorders>
          </w:tcPr>
          <w:p>
            <w:pPr>
              <w:pStyle w:val="9"/>
              <w:spacing w:before="22"/>
              <w:ind w:left="108"/>
              <w:rPr>
                <w:sz w:val="20"/>
              </w:rPr>
            </w:pPr>
            <w:r>
              <w:rPr>
                <w:sz w:val="20"/>
              </w:rPr>
              <w:t>（一）兽药经营企业应当根据所经营兽药的储存要求，设置不同温、湿度条件的仓库。其中，冷藏库温度为 2～10℃，阴凉库温度为 0～20℃，常</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49" w:hRule="atLeast"/>
        </w:trPr>
        <w:tc>
          <w:tcPr>
            <w:tcW w:w="547" w:type="dxa"/>
            <w:tcBorders>
              <w:top w:val="nil"/>
              <w:bottom w:val="nil"/>
            </w:tcBorders>
          </w:tcPr>
          <w:p>
            <w:pPr>
              <w:pStyle w:val="9"/>
              <w:rPr>
                <w:sz w:val="20"/>
              </w:rPr>
            </w:pPr>
          </w:p>
          <w:p>
            <w:pPr>
              <w:pStyle w:val="9"/>
              <w:rPr>
                <w:sz w:val="20"/>
              </w:rPr>
            </w:pPr>
          </w:p>
          <w:p>
            <w:pPr>
              <w:pStyle w:val="9"/>
              <w:spacing w:before="8"/>
              <w:rPr>
                <w:sz w:val="22"/>
              </w:rPr>
            </w:pPr>
          </w:p>
          <w:p>
            <w:pPr>
              <w:pStyle w:val="9"/>
              <w:ind w:left="172"/>
              <w:rPr>
                <w:sz w:val="20"/>
              </w:rPr>
            </w:pPr>
            <w:r>
              <w:rPr>
                <w:sz w:val="20"/>
              </w:rPr>
              <w:t>*4</w:t>
            </w:r>
          </w:p>
        </w:tc>
        <w:tc>
          <w:tcPr>
            <w:tcW w:w="616" w:type="dxa"/>
            <w:tcBorders>
              <w:top w:val="nil"/>
              <w:bottom w:val="nil"/>
            </w:tcBorders>
          </w:tcPr>
          <w:p>
            <w:pPr>
              <w:pStyle w:val="9"/>
              <w:spacing w:before="178" w:line="292" w:lineRule="auto"/>
              <w:ind w:left="107" w:right="97"/>
              <w:jc w:val="both"/>
              <w:rPr>
                <w:sz w:val="20"/>
              </w:rPr>
            </w:pPr>
            <w:r>
              <w:rPr>
                <w:sz w:val="20"/>
              </w:rPr>
              <w:t>一、场所与设施</w:t>
            </w:r>
          </w:p>
        </w:tc>
        <w:tc>
          <w:tcPr>
            <w:tcW w:w="12920" w:type="dxa"/>
            <w:tcBorders>
              <w:top w:val="nil"/>
              <w:bottom w:val="nil"/>
            </w:tcBorders>
          </w:tcPr>
          <w:p>
            <w:pPr>
              <w:pStyle w:val="9"/>
              <w:spacing w:before="22"/>
              <w:ind w:left="108"/>
              <w:rPr>
                <w:sz w:val="20"/>
              </w:rPr>
            </w:pPr>
            <w:r>
              <w:rPr>
                <w:sz w:val="20"/>
              </w:rPr>
              <w:t>温库温度为 0～30℃，各库房相对湿度保持在 30～75%之间。</w:t>
            </w:r>
          </w:p>
          <w:p>
            <w:pPr>
              <w:pStyle w:val="9"/>
              <w:spacing w:before="56"/>
              <w:ind w:left="108"/>
              <w:rPr>
                <w:sz w:val="20"/>
              </w:rPr>
            </w:pPr>
            <w:r>
              <w:rPr>
                <w:sz w:val="20"/>
              </w:rPr>
              <w:t>（二）乡镇区域设立的小型兽药经营企业、专门从事宠物诊疗活动的兽药经营企业，可以根据所经营兽药品种的贮藏条件，只设置阴凉库和常温库</w:t>
            </w:r>
          </w:p>
          <w:p>
            <w:pPr>
              <w:pStyle w:val="9"/>
              <w:spacing w:before="56" w:line="292" w:lineRule="auto"/>
              <w:ind w:left="108"/>
              <w:rPr>
                <w:sz w:val="20"/>
              </w:rPr>
            </w:pPr>
            <w:r>
              <w:rPr>
                <w:w w:val="95"/>
                <w:sz w:val="20"/>
              </w:rPr>
              <w:t xml:space="preserve">（三）兽用生物制品经营企业应设置普通冷库（柜）（温度：2～8℃）、低温冷库（柜）（温度：－15℃以下）等。冷库应当有温度监测、调控、     </w:t>
            </w:r>
            <w:r>
              <w:rPr>
                <w:sz w:val="20"/>
              </w:rPr>
              <w:t>记录装置，应配备冷柜、冰箱等必要的设施、设备，并配备生物制品</w:t>
            </w:r>
            <w:r>
              <w:rPr>
                <w:b/>
                <w:color w:val="FF0000"/>
                <w:sz w:val="20"/>
              </w:rPr>
              <w:t>冷藏运输</w:t>
            </w:r>
            <w:r>
              <w:rPr>
                <w:sz w:val="20"/>
              </w:rPr>
              <w:t>、保温、发电机等设施设备。</w:t>
            </w:r>
          </w:p>
          <w:p>
            <w:pPr>
              <w:pStyle w:val="9"/>
              <w:spacing w:line="255" w:lineRule="exact"/>
              <w:ind w:left="108"/>
              <w:rPr>
                <w:sz w:val="20"/>
              </w:rPr>
            </w:pPr>
            <w:r>
              <w:rPr>
                <w:sz w:val="20"/>
              </w:rPr>
              <w:t>(四）经营大批量固体消毒剂的兽药经营企业，应当设置独立的固体消毒剂专库，其面积应当与所经营固体消毒剂的品种、规模相适应，配置消防</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547" w:type="dxa"/>
            <w:tcBorders>
              <w:top w:val="nil"/>
              <w:bottom w:val="nil"/>
            </w:tcBorders>
          </w:tcPr>
          <w:p>
            <w:pPr>
              <w:pStyle w:val="9"/>
              <w:rPr>
                <w:rFonts w:ascii="Times New Roman"/>
                <w:sz w:val="20"/>
              </w:rPr>
            </w:pPr>
          </w:p>
        </w:tc>
        <w:tc>
          <w:tcPr>
            <w:tcW w:w="616" w:type="dxa"/>
            <w:tcBorders>
              <w:top w:val="nil"/>
              <w:bottom w:val="nil"/>
            </w:tcBorders>
          </w:tcPr>
          <w:p>
            <w:pPr>
              <w:pStyle w:val="9"/>
              <w:rPr>
                <w:rFonts w:ascii="Times New Roman"/>
                <w:sz w:val="20"/>
              </w:rPr>
            </w:pPr>
          </w:p>
        </w:tc>
        <w:tc>
          <w:tcPr>
            <w:tcW w:w="12920" w:type="dxa"/>
            <w:tcBorders>
              <w:top w:val="nil"/>
              <w:bottom w:val="nil"/>
            </w:tcBorders>
          </w:tcPr>
          <w:p>
            <w:pPr>
              <w:pStyle w:val="9"/>
              <w:spacing w:before="22"/>
              <w:ind w:left="108"/>
              <w:rPr>
                <w:sz w:val="20"/>
              </w:rPr>
            </w:pPr>
            <w:r>
              <w:rPr>
                <w:sz w:val="20"/>
              </w:rPr>
              <w:t>设施，保持良好的通风和干燥。</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547" w:type="dxa"/>
            <w:tcBorders>
              <w:top w:val="nil"/>
              <w:bottom w:val="nil"/>
            </w:tcBorders>
          </w:tcPr>
          <w:p>
            <w:pPr>
              <w:pStyle w:val="9"/>
              <w:rPr>
                <w:rFonts w:ascii="Times New Roman"/>
                <w:sz w:val="20"/>
              </w:rPr>
            </w:pPr>
          </w:p>
        </w:tc>
        <w:tc>
          <w:tcPr>
            <w:tcW w:w="616" w:type="dxa"/>
            <w:tcBorders>
              <w:top w:val="nil"/>
              <w:bottom w:val="nil"/>
            </w:tcBorders>
          </w:tcPr>
          <w:p>
            <w:pPr>
              <w:pStyle w:val="9"/>
              <w:rPr>
                <w:rFonts w:ascii="Times New Roman"/>
                <w:sz w:val="20"/>
              </w:rPr>
            </w:pPr>
          </w:p>
        </w:tc>
        <w:tc>
          <w:tcPr>
            <w:tcW w:w="12920" w:type="dxa"/>
            <w:tcBorders>
              <w:top w:val="nil"/>
              <w:bottom w:val="nil"/>
            </w:tcBorders>
          </w:tcPr>
          <w:p>
            <w:pPr>
              <w:pStyle w:val="9"/>
              <w:spacing w:before="22"/>
              <w:ind w:left="108"/>
              <w:rPr>
                <w:sz w:val="20"/>
              </w:rPr>
            </w:pPr>
            <w:r>
              <w:rPr>
                <w:sz w:val="20"/>
              </w:rPr>
              <w:t>（五）兽药直营连锁经营企业在同一县（市）内有多家经营门店的，可以统一配置仓储和相关设施、设备，其每个连锁门店根据所经营品种、规模</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547" w:type="dxa"/>
            <w:tcBorders>
              <w:top w:val="nil"/>
            </w:tcBorders>
          </w:tcPr>
          <w:p>
            <w:pPr>
              <w:pStyle w:val="9"/>
              <w:rPr>
                <w:rFonts w:ascii="Times New Roman"/>
                <w:sz w:val="20"/>
              </w:rPr>
            </w:pPr>
          </w:p>
        </w:tc>
        <w:tc>
          <w:tcPr>
            <w:tcW w:w="616" w:type="dxa"/>
            <w:tcBorders>
              <w:top w:val="nil"/>
              <w:bottom w:val="nil"/>
            </w:tcBorders>
          </w:tcPr>
          <w:p>
            <w:pPr>
              <w:pStyle w:val="9"/>
              <w:rPr>
                <w:rFonts w:ascii="Times New Roman"/>
                <w:sz w:val="20"/>
              </w:rPr>
            </w:pPr>
          </w:p>
        </w:tc>
        <w:tc>
          <w:tcPr>
            <w:tcW w:w="12920" w:type="dxa"/>
            <w:tcBorders>
              <w:top w:val="nil"/>
            </w:tcBorders>
          </w:tcPr>
          <w:p>
            <w:pPr>
              <w:pStyle w:val="9"/>
              <w:spacing w:before="22"/>
              <w:ind w:left="108"/>
              <w:rPr>
                <w:sz w:val="20"/>
              </w:rPr>
            </w:pPr>
            <w:r>
              <w:rPr>
                <w:sz w:val="20"/>
              </w:rPr>
              <w:t>的需要，设置一定面积的常温库、阴凉库等，用于门店零售兽药的临时存放。</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547" w:type="dxa"/>
          </w:tcPr>
          <w:p>
            <w:pPr>
              <w:pStyle w:val="9"/>
              <w:spacing w:before="5"/>
              <w:rPr>
                <w:sz w:val="14"/>
              </w:rPr>
            </w:pPr>
          </w:p>
          <w:p>
            <w:pPr>
              <w:pStyle w:val="9"/>
              <w:spacing w:before="1"/>
              <w:ind w:left="222"/>
              <w:rPr>
                <w:sz w:val="20"/>
              </w:rPr>
            </w:pPr>
            <w:r>
              <w:rPr>
                <w:w w:val="99"/>
                <w:sz w:val="20"/>
              </w:rPr>
              <w:t>5</w:t>
            </w:r>
          </w:p>
        </w:tc>
        <w:tc>
          <w:tcPr>
            <w:tcW w:w="616" w:type="dxa"/>
            <w:tcBorders>
              <w:top w:val="nil"/>
              <w:bottom w:val="nil"/>
            </w:tcBorders>
          </w:tcPr>
          <w:p>
            <w:pPr>
              <w:pStyle w:val="9"/>
              <w:rPr>
                <w:rFonts w:ascii="Times New Roman"/>
                <w:sz w:val="20"/>
              </w:rPr>
            </w:pPr>
          </w:p>
        </w:tc>
        <w:tc>
          <w:tcPr>
            <w:tcW w:w="12920" w:type="dxa"/>
          </w:tcPr>
          <w:p>
            <w:pPr>
              <w:pStyle w:val="9"/>
              <w:spacing w:before="29"/>
              <w:ind w:left="108"/>
              <w:rPr>
                <w:sz w:val="20"/>
              </w:rPr>
            </w:pPr>
            <w:r>
              <w:rPr>
                <w:sz w:val="20"/>
              </w:rPr>
              <w:t>变更经营地点的，应当申请换发兽药经营许可证。变更经营场所面积或者变更仓库位置，增加、减少仓库数量、面积以及相关设施、设备的，应当</w:t>
            </w:r>
          </w:p>
          <w:p>
            <w:pPr>
              <w:pStyle w:val="9"/>
              <w:spacing w:before="56"/>
              <w:ind w:left="108"/>
              <w:rPr>
                <w:sz w:val="20"/>
              </w:rPr>
            </w:pPr>
            <w:r>
              <w:rPr>
                <w:sz w:val="20"/>
              </w:rPr>
              <w:t>在变更后 30 个工作日内向发证机关备案。</w:t>
            </w:r>
          </w:p>
        </w:tc>
        <w:tc>
          <w:tcPr>
            <w:tcW w:w="5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47" w:type="dxa"/>
          </w:tcPr>
          <w:p>
            <w:pPr>
              <w:pStyle w:val="9"/>
              <w:spacing w:before="28"/>
              <w:ind w:left="222"/>
              <w:rPr>
                <w:sz w:val="20"/>
              </w:rPr>
            </w:pPr>
            <w:r>
              <w:rPr>
                <w:w w:val="99"/>
                <w:sz w:val="20"/>
              </w:rPr>
              <w:t>6</w:t>
            </w:r>
          </w:p>
        </w:tc>
        <w:tc>
          <w:tcPr>
            <w:tcW w:w="616" w:type="dxa"/>
            <w:tcBorders>
              <w:top w:val="nil"/>
              <w:bottom w:val="nil"/>
            </w:tcBorders>
          </w:tcPr>
          <w:p>
            <w:pPr>
              <w:pStyle w:val="9"/>
              <w:rPr>
                <w:rFonts w:ascii="Times New Roman"/>
                <w:sz w:val="20"/>
              </w:rPr>
            </w:pPr>
          </w:p>
        </w:tc>
        <w:tc>
          <w:tcPr>
            <w:tcW w:w="12920" w:type="dxa"/>
          </w:tcPr>
          <w:p>
            <w:pPr>
              <w:pStyle w:val="9"/>
              <w:spacing w:before="28"/>
              <w:ind w:left="108"/>
              <w:rPr>
                <w:sz w:val="20"/>
              </w:rPr>
            </w:pPr>
            <w:r>
              <w:rPr>
                <w:sz w:val="20"/>
              </w:rPr>
              <w:t>仓库应当划分合格兽药区、不合格兽药区、待验兽药区、退货兽药区等不同区域；不同兽药品种应当分区、分类、分批存放。</w:t>
            </w:r>
          </w:p>
        </w:tc>
        <w:tc>
          <w:tcPr>
            <w:tcW w:w="5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trPr>
        <w:tc>
          <w:tcPr>
            <w:tcW w:w="547" w:type="dxa"/>
          </w:tcPr>
          <w:p>
            <w:pPr>
              <w:pStyle w:val="9"/>
              <w:spacing w:before="5"/>
              <w:rPr>
                <w:sz w:val="14"/>
              </w:rPr>
            </w:pPr>
          </w:p>
          <w:p>
            <w:pPr>
              <w:pStyle w:val="9"/>
              <w:ind w:left="222"/>
              <w:rPr>
                <w:sz w:val="20"/>
              </w:rPr>
            </w:pPr>
            <w:r>
              <w:rPr>
                <w:w w:val="99"/>
                <w:sz w:val="20"/>
              </w:rPr>
              <w:t>7</w:t>
            </w:r>
          </w:p>
        </w:tc>
        <w:tc>
          <w:tcPr>
            <w:tcW w:w="616" w:type="dxa"/>
            <w:tcBorders>
              <w:top w:val="nil"/>
            </w:tcBorders>
          </w:tcPr>
          <w:p>
            <w:pPr>
              <w:pStyle w:val="9"/>
              <w:rPr>
                <w:rFonts w:ascii="Times New Roman"/>
                <w:sz w:val="20"/>
              </w:rPr>
            </w:pPr>
          </w:p>
        </w:tc>
        <w:tc>
          <w:tcPr>
            <w:tcW w:w="12920" w:type="dxa"/>
          </w:tcPr>
          <w:p>
            <w:pPr>
              <w:pStyle w:val="9"/>
              <w:spacing w:before="28"/>
              <w:ind w:left="108" w:right="-15"/>
              <w:rPr>
                <w:sz w:val="20"/>
              </w:rPr>
            </w:pPr>
            <w:r>
              <w:rPr>
                <w:spacing w:val="-13"/>
                <w:w w:val="95"/>
                <w:sz w:val="20"/>
              </w:rPr>
              <w:t>兽药经营场所应当宽敞、明亮，无杂物，周边无污染源；货柜、橱窗保持清洁、卫生。经营场所和仓库的地面、墙壁、顶棚等应当平整、光洁，门、</w:t>
            </w:r>
          </w:p>
          <w:p>
            <w:pPr>
              <w:pStyle w:val="9"/>
              <w:spacing w:before="56"/>
              <w:ind w:left="108"/>
              <w:rPr>
                <w:sz w:val="20"/>
              </w:rPr>
            </w:pPr>
            <w:r>
              <w:rPr>
                <w:sz w:val="20"/>
              </w:rPr>
              <w:t>窗应当严密、易清洁。</w:t>
            </w:r>
          </w:p>
        </w:tc>
        <w:tc>
          <w:tcPr>
            <w:tcW w:w="537" w:type="dxa"/>
          </w:tcPr>
          <w:p>
            <w:pPr>
              <w:pStyle w:val="9"/>
              <w:rPr>
                <w:rFonts w:ascii="Times New Roman"/>
                <w:sz w:val="20"/>
              </w:rPr>
            </w:pPr>
          </w:p>
        </w:tc>
      </w:tr>
    </w:tbl>
    <w:p>
      <w:pPr>
        <w:spacing w:after="0"/>
        <w:rPr>
          <w:rFonts w:ascii="Times New Roman"/>
          <w:sz w:val="20"/>
        </w:rPr>
        <w:sectPr>
          <w:pgSz w:w="16840" w:h="11910" w:orient="landscape"/>
          <w:pgMar w:top="1100" w:right="660" w:bottom="1180" w:left="1320" w:header="0" w:footer="909" w:gutter="0"/>
          <w:cols w:space="720" w:num="1"/>
        </w:sectPr>
      </w:pPr>
    </w:p>
    <w:p>
      <w:pPr>
        <w:pStyle w:val="4"/>
        <w:rPr>
          <w:rFonts w:ascii="Times New Roman"/>
          <w:sz w:val="20"/>
        </w:rPr>
      </w:pPr>
    </w:p>
    <w:p>
      <w:pPr>
        <w:pStyle w:val="4"/>
        <w:rPr>
          <w:rFonts w:ascii="Times New Roman"/>
          <w:sz w:val="20"/>
        </w:rPr>
      </w:pPr>
    </w:p>
    <w:p>
      <w:pPr>
        <w:pStyle w:val="4"/>
        <w:spacing w:before="4"/>
        <w:rPr>
          <w:rFonts w:ascii="Times New Roman"/>
          <w:sz w:val="20"/>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616"/>
        <w:gridCol w:w="12920"/>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2" w:hRule="atLeast"/>
        </w:trPr>
        <w:tc>
          <w:tcPr>
            <w:tcW w:w="547" w:type="dxa"/>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19"/>
              <w:ind w:left="8"/>
              <w:jc w:val="center"/>
              <w:rPr>
                <w:sz w:val="20"/>
              </w:rPr>
            </w:pPr>
            <w:r>
              <w:rPr>
                <w:w w:val="99"/>
                <w:sz w:val="20"/>
              </w:rPr>
              <w:t>8</w:t>
            </w:r>
          </w:p>
        </w:tc>
        <w:tc>
          <w:tcPr>
            <w:tcW w:w="616" w:type="dxa"/>
            <w:vMerge w:val="restart"/>
          </w:tcPr>
          <w:p>
            <w:pPr>
              <w:pStyle w:val="9"/>
              <w:rPr>
                <w:rFonts w:ascii="Times New Roman"/>
                <w:sz w:val="18"/>
              </w:rPr>
            </w:pPr>
          </w:p>
        </w:tc>
        <w:tc>
          <w:tcPr>
            <w:tcW w:w="12920" w:type="dxa"/>
          </w:tcPr>
          <w:p>
            <w:pPr>
              <w:pStyle w:val="9"/>
              <w:spacing w:before="29"/>
              <w:ind w:left="108"/>
              <w:rPr>
                <w:sz w:val="20"/>
              </w:rPr>
            </w:pPr>
            <w:r>
              <w:rPr>
                <w:sz w:val="20"/>
              </w:rPr>
              <w:t>兽药经营场所和仓库应当具有与经营兽药品种、规模相适应的下列设施、设备：</w:t>
            </w:r>
          </w:p>
          <w:p>
            <w:pPr>
              <w:pStyle w:val="9"/>
              <w:spacing w:before="55"/>
              <w:ind w:left="108"/>
              <w:rPr>
                <w:sz w:val="20"/>
              </w:rPr>
            </w:pPr>
            <w:r>
              <w:rPr>
                <w:w w:val="95"/>
                <w:sz w:val="20"/>
              </w:rPr>
              <w:t>（一）与经营兽药相适应的货架、柜台；</w:t>
            </w:r>
          </w:p>
          <w:p>
            <w:pPr>
              <w:pStyle w:val="9"/>
              <w:spacing w:before="56"/>
              <w:ind w:left="108"/>
              <w:rPr>
                <w:sz w:val="20"/>
              </w:rPr>
            </w:pPr>
            <w:r>
              <w:rPr>
                <w:w w:val="95"/>
                <w:sz w:val="20"/>
              </w:rPr>
              <w:t>（二）避光、通风、照明的设施、设备；</w:t>
            </w:r>
          </w:p>
          <w:p>
            <w:pPr>
              <w:pStyle w:val="9"/>
              <w:spacing w:before="56"/>
              <w:ind w:left="108"/>
              <w:rPr>
                <w:sz w:val="20"/>
              </w:rPr>
            </w:pPr>
            <w:r>
              <w:rPr>
                <w:sz w:val="20"/>
              </w:rPr>
              <w:t>（三）与储存兽药相适应的控制温度、湿度的设施、设备；</w:t>
            </w:r>
          </w:p>
          <w:p>
            <w:pPr>
              <w:pStyle w:val="9"/>
              <w:spacing w:before="55"/>
              <w:ind w:left="108"/>
              <w:rPr>
                <w:sz w:val="20"/>
              </w:rPr>
            </w:pPr>
            <w:r>
              <w:rPr>
                <w:sz w:val="20"/>
              </w:rPr>
              <w:t>（四）防尘、防潮、防霉、防污染和防虫、防鼠、防鸟的设施、设备；</w:t>
            </w:r>
          </w:p>
          <w:p>
            <w:pPr>
              <w:pStyle w:val="9"/>
              <w:spacing w:before="56"/>
              <w:ind w:left="108"/>
              <w:rPr>
                <w:sz w:val="20"/>
              </w:rPr>
            </w:pPr>
            <w:r>
              <w:rPr>
                <w:sz w:val="20"/>
              </w:rPr>
              <w:t>（五）进行卫生清洁的设施、设备等。</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7" w:type="dxa"/>
          </w:tcPr>
          <w:p>
            <w:pPr>
              <w:pStyle w:val="9"/>
              <w:spacing w:before="28"/>
              <w:ind w:left="8"/>
              <w:jc w:val="center"/>
              <w:rPr>
                <w:sz w:val="20"/>
              </w:rPr>
            </w:pPr>
            <w:r>
              <w:rPr>
                <w:w w:val="99"/>
                <w:sz w:val="20"/>
              </w:rPr>
              <w:t>9</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兽药经营场所和仓库的设施、设备应当齐备、整洁、完好，根据兽药品种、类别、用途等设立醒目标志。</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7" w:type="dxa"/>
          </w:tcPr>
          <w:p>
            <w:pPr>
              <w:pStyle w:val="9"/>
              <w:rPr>
                <w:rFonts w:ascii="Times New Roman"/>
                <w:sz w:val="16"/>
              </w:rPr>
            </w:pPr>
          </w:p>
          <w:p>
            <w:pPr>
              <w:pStyle w:val="9"/>
              <w:ind w:left="102" w:right="94"/>
              <w:jc w:val="center"/>
              <w:rPr>
                <w:sz w:val="20"/>
              </w:rPr>
            </w:pPr>
            <w:r>
              <w:rPr>
                <w:sz w:val="20"/>
              </w:rPr>
              <w:t>*10</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经营兽用麻醉药品、精神药品、易制毒化学药品、毒性药品、放射性药品等特殊药品，应当遵守国家有关规定。同时，应具有独立的仓库或存放器</w:t>
            </w:r>
          </w:p>
          <w:p>
            <w:pPr>
              <w:pStyle w:val="9"/>
              <w:spacing w:before="55"/>
              <w:ind w:left="108"/>
              <w:rPr>
                <w:sz w:val="20"/>
              </w:rPr>
            </w:pPr>
            <w:r>
              <w:rPr>
                <w:sz w:val="20"/>
              </w:rPr>
              <w:t>具，以及符合有关规定的安全设施、设备；建立专门的安全保管防范制度，采取有效的安全保管防范措施，实行双人双锁保管制度。</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7" w:type="dxa"/>
          </w:tcPr>
          <w:p>
            <w:pPr>
              <w:pStyle w:val="9"/>
              <w:spacing w:before="27"/>
              <w:ind w:left="102" w:right="94"/>
              <w:jc w:val="center"/>
              <w:rPr>
                <w:sz w:val="20"/>
              </w:rPr>
            </w:pPr>
            <w:r>
              <w:rPr>
                <w:sz w:val="20"/>
              </w:rPr>
              <w:t>11</w:t>
            </w:r>
          </w:p>
        </w:tc>
        <w:tc>
          <w:tcPr>
            <w:tcW w:w="616" w:type="dxa"/>
            <w:vMerge w:val="restart"/>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48" w:line="292" w:lineRule="auto"/>
              <w:ind w:left="107" w:right="97"/>
              <w:jc w:val="both"/>
              <w:rPr>
                <w:sz w:val="20"/>
              </w:rPr>
            </w:pPr>
            <w:r>
              <w:rPr>
                <w:sz w:val="20"/>
              </w:rPr>
              <w:t>二、机构与人员</w:t>
            </w:r>
          </w:p>
        </w:tc>
        <w:tc>
          <w:tcPr>
            <w:tcW w:w="12920" w:type="dxa"/>
          </w:tcPr>
          <w:p>
            <w:pPr>
              <w:pStyle w:val="9"/>
              <w:spacing w:before="27"/>
              <w:ind w:left="108"/>
              <w:rPr>
                <w:sz w:val="20"/>
              </w:rPr>
            </w:pPr>
            <w:r>
              <w:rPr>
                <w:sz w:val="20"/>
              </w:rPr>
              <w:t>兽药经营企业直接负责的主管人员应当熟悉兽药管理法律、法规及政策规定，具备相应兽药专业知识。</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47" w:type="dxa"/>
          </w:tcPr>
          <w:p>
            <w:pPr>
              <w:pStyle w:val="9"/>
              <w:spacing w:before="27"/>
              <w:ind w:left="102" w:right="94"/>
              <w:jc w:val="center"/>
              <w:rPr>
                <w:sz w:val="20"/>
              </w:rPr>
            </w:pPr>
            <w:r>
              <w:rPr>
                <w:sz w:val="20"/>
              </w:rPr>
              <w:t>*12</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兽药经营企业应当配备质量负责人和兽药质量管理人员，有条件的应当设立质量管理机构和质量负责人，明确各人员和机构职责。</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6" w:hRule="atLeast"/>
        </w:trPr>
        <w:tc>
          <w:tcPr>
            <w:tcW w:w="547" w:type="dxa"/>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5"/>
              <w:rPr>
                <w:rFonts w:ascii="Times New Roman"/>
                <w:sz w:val="17"/>
              </w:rPr>
            </w:pPr>
          </w:p>
          <w:p>
            <w:pPr>
              <w:pStyle w:val="9"/>
              <w:ind w:left="102" w:right="94"/>
              <w:jc w:val="center"/>
              <w:rPr>
                <w:sz w:val="20"/>
              </w:rPr>
            </w:pPr>
            <w:r>
              <w:rPr>
                <w:sz w:val="20"/>
              </w:rPr>
              <w:t>13</w:t>
            </w:r>
          </w:p>
        </w:tc>
        <w:tc>
          <w:tcPr>
            <w:tcW w:w="616" w:type="dxa"/>
            <w:vMerge w:val="continue"/>
            <w:tcBorders>
              <w:top w:val="nil"/>
            </w:tcBorders>
          </w:tcPr>
          <w:p>
            <w:pPr>
              <w:rPr>
                <w:sz w:val="2"/>
                <w:szCs w:val="2"/>
              </w:rPr>
            </w:pPr>
          </w:p>
        </w:tc>
        <w:tc>
          <w:tcPr>
            <w:tcW w:w="12920" w:type="dxa"/>
          </w:tcPr>
          <w:p>
            <w:pPr>
              <w:pStyle w:val="9"/>
              <w:spacing w:before="29"/>
              <w:ind w:left="108"/>
              <w:rPr>
                <w:sz w:val="20"/>
              </w:rPr>
            </w:pPr>
            <w:r>
              <w:rPr>
                <w:sz w:val="20"/>
              </w:rPr>
              <w:t>兽药经营企业的质量管理机构/质量管理人员应履行以下质量管理职能：</w:t>
            </w:r>
          </w:p>
          <w:p>
            <w:pPr>
              <w:pStyle w:val="9"/>
              <w:spacing w:before="56"/>
              <w:ind w:left="108"/>
              <w:rPr>
                <w:sz w:val="20"/>
              </w:rPr>
            </w:pPr>
            <w:r>
              <w:rPr>
                <w:sz w:val="20"/>
              </w:rPr>
              <w:t>（一）贯彻执行《兽药管理条例》等有关兽药管理的法律、法规和行政规章。</w:t>
            </w:r>
          </w:p>
          <w:p>
            <w:pPr>
              <w:pStyle w:val="9"/>
              <w:spacing w:before="55"/>
              <w:ind w:left="108"/>
              <w:rPr>
                <w:sz w:val="20"/>
              </w:rPr>
            </w:pPr>
            <w:r>
              <w:rPr>
                <w:sz w:val="20"/>
              </w:rPr>
              <w:t>（二）制定企业兽药质量管理制度，并指导、督促制度的执行。</w:t>
            </w:r>
          </w:p>
          <w:p>
            <w:pPr>
              <w:pStyle w:val="9"/>
              <w:spacing w:before="56"/>
              <w:ind w:left="108"/>
              <w:rPr>
                <w:sz w:val="20"/>
              </w:rPr>
            </w:pPr>
            <w:r>
              <w:rPr>
                <w:sz w:val="20"/>
              </w:rPr>
              <w:t>（三）负责对供货单位和有关兽药产品的质量审核，建立企业所经营兽药的质量档案。</w:t>
            </w:r>
          </w:p>
          <w:p>
            <w:pPr>
              <w:pStyle w:val="9"/>
              <w:spacing w:before="56"/>
              <w:ind w:left="108"/>
              <w:rPr>
                <w:sz w:val="20"/>
              </w:rPr>
            </w:pPr>
            <w:r>
              <w:rPr>
                <w:sz w:val="20"/>
              </w:rPr>
              <w:t>（四）负责兽药质量的查询、质量事故或质量投诉的调查、处理及报告。</w:t>
            </w:r>
          </w:p>
          <w:p>
            <w:pPr>
              <w:pStyle w:val="9"/>
              <w:spacing w:before="56"/>
              <w:ind w:left="108"/>
              <w:rPr>
                <w:sz w:val="20"/>
              </w:rPr>
            </w:pPr>
            <w:r>
              <w:rPr>
                <w:sz w:val="20"/>
              </w:rPr>
              <w:t>（五）负责兽药的验收，指导、监督兽药储存、运输过程中的质量工作，按规定处理不合格兽药。</w:t>
            </w:r>
          </w:p>
          <w:p>
            <w:pPr>
              <w:pStyle w:val="9"/>
              <w:spacing w:before="55"/>
              <w:ind w:left="108"/>
              <w:rPr>
                <w:sz w:val="20"/>
              </w:rPr>
            </w:pPr>
            <w:r>
              <w:rPr>
                <w:sz w:val="20"/>
              </w:rPr>
              <w:t>（六）负责企业职工兽药质量管理方面的教育或培训。</w:t>
            </w:r>
          </w:p>
          <w:p>
            <w:pPr>
              <w:pStyle w:val="9"/>
              <w:spacing w:before="56"/>
              <w:ind w:left="108"/>
              <w:rPr>
                <w:sz w:val="20"/>
              </w:rPr>
            </w:pPr>
            <w:r>
              <w:rPr>
                <w:sz w:val="20"/>
              </w:rPr>
              <w:t>（七）其他相关工作。</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8" w:hRule="atLeast"/>
        </w:trPr>
        <w:tc>
          <w:tcPr>
            <w:tcW w:w="547" w:type="dxa"/>
          </w:tcPr>
          <w:p>
            <w:pPr>
              <w:pStyle w:val="9"/>
              <w:rPr>
                <w:rFonts w:ascii="Times New Roman"/>
                <w:sz w:val="20"/>
              </w:rPr>
            </w:pPr>
          </w:p>
          <w:p>
            <w:pPr>
              <w:pStyle w:val="9"/>
              <w:rPr>
                <w:rFonts w:ascii="Times New Roman"/>
                <w:sz w:val="20"/>
              </w:rPr>
            </w:pPr>
          </w:p>
          <w:p>
            <w:pPr>
              <w:pStyle w:val="9"/>
              <w:spacing w:before="8"/>
              <w:rPr>
                <w:rFonts w:ascii="Times New Roman"/>
                <w:sz w:val="16"/>
              </w:rPr>
            </w:pPr>
          </w:p>
          <w:p>
            <w:pPr>
              <w:pStyle w:val="9"/>
              <w:spacing w:before="1"/>
              <w:ind w:left="102" w:right="94"/>
              <w:jc w:val="center"/>
              <w:rPr>
                <w:sz w:val="20"/>
              </w:rPr>
            </w:pPr>
            <w:r>
              <w:rPr>
                <w:sz w:val="20"/>
              </w:rPr>
              <w:t>*14</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兽药经营企业主管质量的负责人和质量管理机构的负责人应当具备相应兽药专业知识，其专业学历或技术职称应当符合以下规定：</w:t>
            </w:r>
          </w:p>
          <w:p>
            <w:pPr>
              <w:pStyle w:val="9"/>
              <w:spacing w:before="56" w:line="292" w:lineRule="auto"/>
              <w:ind w:left="108" w:right="96"/>
              <w:rPr>
                <w:sz w:val="20"/>
              </w:rPr>
            </w:pPr>
            <w:r>
              <w:rPr>
                <w:w w:val="95"/>
                <w:sz w:val="20"/>
              </w:rPr>
              <w:t>（一</w:t>
            </w:r>
            <w:r>
              <w:rPr>
                <w:spacing w:val="-19"/>
                <w:w w:val="95"/>
                <w:sz w:val="20"/>
              </w:rPr>
              <w:t>）</w:t>
            </w:r>
            <w:r>
              <w:rPr>
                <w:spacing w:val="-7"/>
                <w:w w:val="95"/>
                <w:sz w:val="20"/>
              </w:rPr>
              <w:t xml:space="preserve">在地市、县级城区内设立的兽药经营企业，其主管质量的负责人和质量管理机构的负责人应当具有兽药、兽医等相关专业大专以上学历，或     </w:t>
            </w:r>
            <w:r>
              <w:rPr>
                <w:spacing w:val="-7"/>
                <w:sz w:val="20"/>
              </w:rPr>
              <w:t>者具有兽药、兽医等相关专业中级以上专业技术职称。</w:t>
            </w:r>
          </w:p>
          <w:p>
            <w:pPr>
              <w:pStyle w:val="9"/>
              <w:spacing w:line="255" w:lineRule="exact"/>
              <w:ind w:left="108"/>
              <w:rPr>
                <w:sz w:val="20"/>
              </w:rPr>
            </w:pPr>
            <w:r>
              <w:rPr>
                <w:sz w:val="20"/>
              </w:rPr>
              <w:t>（二）在乡镇地区设立的小型兽药经营企业，其主管质量的负责人和质量管理机构（如果设置的）的负责人应当具有兽药、兽医等相关专业中专以</w:t>
            </w:r>
          </w:p>
          <w:p>
            <w:pPr>
              <w:pStyle w:val="9"/>
              <w:spacing w:before="56"/>
              <w:ind w:left="108"/>
              <w:rPr>
                <w:sz w:val="20"/>
              </w:rPr>
            </w:pPr>
            <w:r>
              <w:rPr>
                <w:sz w:val="20"/>
              </w:rPr>
              <w:t>上学历，或者具有兽药、兽医等相关专业初级以上专业技术职称。</w:t>
            </w:r>
          </w:p>
        </w:tc>
        <w:tc>
          <w:tcPr>
            <w:tcW w:w="537" w:type="dxa"/>
          </w:tcPr>
          <w:p>
            <w:pPr>
              <w:pStyle w:val="9"/>
              <w:rPr>
                <w:rFonts w:ascii="Times New Roman"/>
                <w:sz w:val="18"/>
              </w:rPr>
            </w:pPr>
          </w:p>
        </w:tc>
      </w:tr>
    </w:tbl>
    <w:p>
      <w:pPr>
        <w:spacing w:after="0"/>
        <w:rPr>
          <w:rFonts w:ascii="Times New Roman"/>
          <w:sz w:val="18"/>
        </w:rPr>
        <w:sectPr>
          <w:pgSz w:w="16840" w:h="11910" w:orient="landscape"/>
          <w:pgMar w:top="1100" w:right="660" w:bottom="1100" w:left="1320" w:header="0" w:footer="909" w:gutter="0"/>
          <w:cols w:space="720" w:num="1"/>
        </w:sectPr>
      </w:pPr>
    </w:p>
    <w:p>
      <w:pPr>
        <w:pStyle w:val="4"/>
        <w:rPr>
          <w:rFonts w:ascii="Times New Roman"/>
          <w:sz w:val="20"/>
        </w:rPr>
      </w:pPr>
    </w:p>
    <w:p>
      <w:pPr>
        <w:pStyle w:val="4"/>
        <w:rPr>
          <w:rFonts w:ascii="Times New Roman"/>
          <w:sz w:val="20"/>
        </w:rPr>
      </w:pPr>
    </w:p>
    <w:p>
      <w:pPr>
        <w:pStyle w:val="4"/>
        <w:spacing w:before="4"/>
        <w:rPr>
          <w:rFonts w:ascii="Times New Roman"/>
          <w:sz w:val="20"/>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616"/>
        <w:gridCol w:w="12920"/>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547" w:type="dxa"/>
          </w:tcPr>
          <w:p>
            <w:pPr>
              <w:pStyle w:val="9"/>
              <w:rPr>
                <w:rFonts w:ascii="Times New Roman"/>
                <w:sz w:val="20"/>
              </w:rPr>
            </w:pPr>
          </w:p>
          <w:p>
            <w:pPr>
              <w:pStyle w:val="9"/>
              <w:spacing w:before="2"/>
              <w:rPr>
                <w:rFonts w:ascii="Times New Roman"/>
                <w:sz w:val="23"/>
              </w:rPr>
            </w:pPr>
          </w:p>
          <w:p>
            <w:pPr>
              <w:pStyle w:val="9"/>
              <w:ind w:left="102" w:right="94"/>
              <w:jc w:val="center"/>
              <w:rPr>
                <w:sz w:val="20"/>
              </w:rPr>
            </w:pPr>
            <w:r>
              <w:rPr>
                <w:sz w:val="20"/>
              </w:rPr>
              <w:t>*15</w:t>
            </w:r>
          </w:p>
        </w:tc>
        <w:tc>
          <w:tcPr>
            <w:tcW w:w="616" w:type="dxa"/>
            <w:vMerge w:val="restart"/>
          </w:tcPr>
          <w:p>
            <w:pPr>
              <w:pStyle w:val="9"/>
              <w:rPr>
                <w:rFonts w:ascii="Times New Roman"/>
                <w:sz w:val="18"/>
              </w:rPr>
            </w:pPr>
          </w:p>
        </w:tc>
        <w:tc>
          <w:tcPr>
            <w:tcW w:w="12920" w:type="dxa"/>
          </w:tcPr>
          <w:p>
            <w:pPr>
              <w:pStyle w:val="9"/>
              <w:spacing w:before="29" w:line="292" w:lineRule="auto"/>
              <w:ind w:left="108" w:right="96"/>
              <w:rPr>
                <w:sz w:val="20"/>
              </w:rPr>
            </w:pPr>
            <w:r>
              <w:rPr>
                <w:w w:val="95"/>
                <w:sz w:val="20"/>
              </w:rPr>
              <w:t>兽药质量管理人员应当具有</w:t>
            </w:r>
            <w:r>
              <w:rPr>
                <w:color w:val="FF0000"/>
                <w:spacing w:val="-8"/>
                <w:w w:val="95"/>
                <w:sz w:val="20"/>
              </w:rPr>
              <w:t>畜牧、</w:t>
            </w:r>
            <w:r>
              <w:rPr>
                <w:spacing w:val="-2"/>
                <w:w w:val="95"/>
                <w:sz w:val="20"/>
              </w:rPr>
              <w:t>兽医等相关专业中专以上学历，或者具有</w:t>
            </w:r>
            <w:r>
              <w:rPr>
                <w:color w:val="FF0000"/>
                <w:spacing w:val="-8"/>
                <w:w w:val="95"/>
                <w:sz w:val="20"/>
              </w:rPr>
              <w:t>畜牧、</w:t>
            </w:r>
            <w:r>
              <w:rPr>
                <w:spacing w:val="-2"/>
                <w:w w:val="95"/>
                <w:sz w:val="20"/>
              </w:rPr>
              <w:t xml:space="preserve">兽医等相关专业初级以上专业技术职称。经营兽用生物制品的企     </w:t>
            </w:r>
            <w:r>
              <w:rPr>
                <w:spacing w:val="-8"/>
                <w:sz w:val="20"/>
              </w:rPr>
              <w:t xml:space="preserve">业，兽药质量管理的人员应不少于 </w:t>
            </w:r>
            <w:r>
              <w:rPr>
                <w:sz w:val="20"/>
              </w:rPr>
              <w:t>2</w:t>
            </w:r>
            <w:r>
              <w:rPr>
                <w:spacing w:val="-15"/>
                <w:sz w:val="20"/>
              </w:rPr>
              <w:t xml:space="preserve"> 人，应具有</w:t>
            </w:r>
            <w:r>
              <w:rPr>
                <w:color w:val="FF0000"/>
                <w:spacing w:val="-5"/>
                <w:sz w:val="20"/>
              </w:rPr>
              <w:t>畜牧、</w:t>
            </w:r>
            <w:r>
              <w:rPr>
                <w:spacing w:val="-4"/>
                <w:sz w:val="20"/>
              </w:rPr>
              <w:t>兽医等相关专业大专以上学历，或者具有畜牧、兽医等相关专业中级以上专业技术职称，并</w:t>
            </w:r>
          </w:p>
          <w:p>
            <w:pPr>
              <w:pStyle w:val="9"/>
              <w:spacing w:line="255" w:lineRule="exact"/>
              <w:ind w:left="108" w:right="-15"/>
              <w:rPr>
                <w:sz w:val="20"/>
              </w:rPr>
            </w:pPr>
            <w:r>
              <w:rPr>
                <w:spacing w:val="-11"/>
                <w:sz w:val="20"/>
              </w:rPr>
              <w:t xml:space="preserve">具备兽用生物制品专业知识。经营处方兽药的企业，质量管理人员应不少于 </w:t>
            </w:r>
            <w:r>
              <w:rPr>
                <w:sz w:val="20"/>
              </w:rPr>
              <w:t>1</w:t>
            </w:r>
            <w:r>
              <w:rPr>
                <w:spacing w:val="-22"/>
                <w:sz w:val="20"/>
              </w:rPr>
              <w:t xml:space="preserve"> 人，应具有</w:t>
            </w:r>
            <w:r>
              <w:rPr>
                <w:color w:val="FF0000"/>
                <w:sz w:val="20"/>
              </w:rPr>
              <w:t>兽医</w:t>
            </w:r>
            <w:r>
              <w:rPr>
                <w:sz w:val="20"/>
              </w:rPr>
              <w:t>专业大专以上学历或者中级兽医师以上专业技术职称，</w:t>
            </w:r>
          </w:p>
          <w:p>
            <w:pPr>
              <w:pStyle w:val="9"/>
              <w:spacing w:before="55"/>
              <w:ind w:left="108"/>
              <w:rPr>
                <w:sz w:val="20"/>
              </w:rPr>
            </w:pPr>
            <w:r>
              <w:rPr>
                <w:sz w:val="20"/>
              </w:rPr>
              <w:t>或者取得农业部和省畜牧兽医</w:t>
            </w:r>
            <w:r>
              <w:rPr>
                <w:color w:val="FF0000"/>
                <w:sz w:val="20"/>
              </w:rPr>
              <w:t>管理</w:t>
            </w:r>
            <w:r>
              <w:rPr>
                <w:sz w:val="20"/>
              </w:rPr>
              <w:t>部门认可的执业兽医师资格证书。</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7" w:type="dxa"/>
          </w:tcPr>
          <w:p>
            <w:pPr>
              <w:pStyle w:val="9"/>
              <w:spacing w:before="28"/>
              <w:ind w:left="102" w:right="94"/>
              <w:jc w:val="center"/>
              <w:rPr>
                <w:sz w:val="20"/>
              </w:rPr>
            </w:pPr>
            <w:r>
              <w:rPr>
                <w:sz w:val="20"/>
              </w:rPr>
              <w:t>16</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兽药质量管理人员不得在本企业以外的其他单位兼职。</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7" w:type="dxa"/>
          </w:tcPr>
          <w:p>
            <w:pPr>
              <w:pStyle w:val="9"/>
              <w:spacing w:before="28"/>
              <w:ind w:left="102" w:right="94"/>
              <w:jc w:val="center"/>
              <w:rPr>
                <w:sz w:val="20"/>
              </w:rPr>
            </w:pPr>
            <w:r>
              <w:rPr>
                <w:sz w:val="20"/>
              </w:rPr>
              <w:t>17</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主管质量的负责人、质量管理机构的负责人、质量管理人员发生变更的，应当在变更后 30 个工作日内向发证机关备案。</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7" w:type="dxa"/>
          </w:tcPr>
          <w:p>
            <w:pPr>
              <w:pStyle w:val="9"/>
              <w:spacing w:before="11"/>
              <w:rPr>
                <w:rFonts w:ascii="Times New Roman"/>
                <w:sz w:val="15"/>
              </w:rPr>
            </w:pPr>
          </w:p>
          <w:p>
            <w:pPr>
              <w:pStyle w:val="9"/>
              <w:ind w:left="102" w:right="94"/>
              <w:jc w:val="center"/>
              <w:rPr>
                <w:sz w:val="20"/>
              </w:rPr>
            </w:pPr>
            <w:r>
              <w:rPr>
                <w:sz w:val="20"/>
              </w:rPr>
              <w:t>18</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兽药经营企业从事兽药采购、保管、销售、技术服务等工作的人员，应当具有高中以上学历，并具有相应兽药、兽医等专业知识，熟悉兽药管理法</w:t>
            </w:r>
          </w:p>
          <w:p>
            <w:pPr>
              <w:pStyle w:val="9"/>
              <w:spacing w:before="56"/>
              <w:ind w:left="108"/>
              <w:rPr>
                <w:sz w:val="20"/>
              </w:rPr>
            </w:pPr>
            <w:r>
              <w:rPr>
                <w:sz w:val="20"/>
              </w:rPr>
              <w:t>律、法规及政策规定。</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5" w:hRule="atLeast"/>
        </w:trPr>
        <w:tc>
          <w:tcPr>
            <w:tcW w:w="547" w:type="dxa"/>
          </w:tcPr>
          <w:p>
            <w:pPr>
              <w:pStyle w:val="9"/>
              <w:spacing w:before="118"/>
              <w:ind w:left="102" w:right="94"/>
              <w:jc w:val="center"/>
              <w:rPr>
                <w:sz w:val="20"/>
              </w:rPr>
            </w:pPr>
            <w:r>
              <w:rPr>
                <w:sz w:val="20"/>
              </w:rPr>
              <w:t>19</w:t>
            </w:r>
          </w:p>
        </w:tc>
        <w:tc>
          <w:tcPr>
            <w:tcW w:w="616" w:type="dxa"/>
            <w:vMerge w:val="continue"/>
            <w:tcBorders>
              <w:top w:val="nil"/>
            </w:tcBorders>
          </w:tcPr>
          <w:p>
            <w:pPr>
              <w:rPr>
                <w:sz w:val="2"/>
                <w:szCs w:val="2"/>
              </w:rPr>
            </w:pPr>
          </w:p>
        </w:tc>
        <w:tc>
          <w:tcPr>
            <w:tcW w:w="12920" w:type="dxa"/>
          </w:tcPr>
          <w:p>
            <w:pPr>
              <w:pStyle w:val="9"/>
              <w:spacing w:before="118"/>
              <w:ind w:left="108" w:right="-15"/>
              <w:rPr>
                <w:sz w:val="20"/>
              </w:rPr>
            </w:pPr>
            <w:r>
              <w:rPr>
                <w:spacing w:val="-8"/>
                <w:w w:val="95"/>
                <w:sz w:val="20"/>
              </w:rPr>
              <w:t>兽药经营企业应当制定培训计划，定期对员工进行兽药管理法律、法规、政策规定和相关专业知识、职业道德培训、考核，并建立培训、考核档案。</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7" w:type="dxa"/>
          </w:tcPr>
          <w:p>
            <w:pPr>
              <w:pStyle w:val="9"/>
              <w:spacing w:before="28"/>
              <w:ind w:left="102" w:right="94"/>
              <w:jc w:val="center"/>
              <w:rPr>
                <w:sz w:val="20"/>
              </w:rPr>
            </w:pPr>
            <w:r>
              <w:rPr>
                <w:sz w:val="20"/>
              </w:rPr>
              <w:t>*20</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兽药质量管理人员应当参加辖区县级以上畜牧兽医管理部门培训、考核，并定期接受县级以上畜牧兽医管理部门的培训和继续教育。</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47" w:type="dxa"/>
          </w:tcPr>
          <w:p>
            <w:pPr>
              <w:pStyle w:val="9"/>
              <w:rPr>
                <w:rFonts w:ascii="Times New Roman"/>
                <w:sz w:val="16"/>
              </w:rPr>
            </w:pPr>
          </w:p>
          <w:p>
            <w:pPr>
              <w:pStyle w:val="9"/>
              <w:ind w:left="102" w:right="94"/>
              <w:jc w:val="center"/>
              <w:rPr>
                <w:sz w:val="20"/>
              </w:rPr>
            </w:pPr>
            <w:r>
              <w:rPr>
                <w:sz w:val="20"/>
              </w:rPr>
              <w:t>*21</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兽用生物制品经营企业的质量管理机构负责人，应当经省级畜牧兽医管理部门培训、考核，取得合格证书方可上岗，并定期接受省级畜牧兽医管理</w:t>
            </w:r>
          </w:p>
          <w:p>
            <w:pPr>
              <w:pStyle w:val="9"/>
              <w:spacing w:before="56"/>
              <w:ind w:left="108"/>
              <w:rPr>
                <w:sz w:val="20"/>
              </w:rPr>
            </w:pPr>
            <w:r>
              <w:rPr>
                <w:sz w:val="20"/>
              </w:rPr>
              <w:t>部门的培训和继续教育。</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8" w:hRule="atLeast"/>
        </w:trPr>
        <w:tc>
          <w:tcPr>
            <w:tcW w:w="547" w:type="dxa"/>
          </w:tcPr>
          <w:p>
            <w:pPr>
              <w:pStyle w:val="9"/>
              <w:rPr>
                <w:rFonts w:ascii="Times New Roman"/>
                <w:sz w:val="20"/>
              </w:rPr>
            </w:pPr>
          </w:p>
          <w:p>
            <w:pPr>
              <w:pStyle w:val="9"/>
              <w:spacing w:before="1"/>
              <w:rPr>
                <w:rFonts w:ascii="Times New Roman"/>
                <w:sz w:val="23"/>
              </w:rPr>
            </w:pPr>
          </w:p>
          <w:p>
            <w:pPr>
              <w:pStyle w:val="9"/>
              <w:ind w:left="102" w:right="94"/>
              <w:jc w:val="center"/>
              <w:rPr>
                <w:sz w:val="20"/>
              </w:rPr>
            </w:pPr>
            <w:r>
              <w:rPr>
                <w:sz w:val="20"/>
              </w:rPr>
              <w:t>*22</w:t>
            </w:r>
          </w:p>
        </w:tc>
        <w:tc>
          <w:tcPr>
            <w:tcW w:w="616" w:type="dxa"/>
            <w:vMerge w:val="restart"/>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5"/>
              <w:rPr>
                <w:rFonts w:ascii="Times New Roman"/>
                <w:sz w:val="18"/>
              </w:rPr>
            </w:pPr>
          </w:p>
          <w:p>
            <w:pPr>
              <w:pStyle w:val="9"/>
              <w:spacing w:line="292" w:lineRule="auto"/>
              <w:ind w:left="107" w:right="97"/>
              <w:jc w:val="both"/>
              <w:rPr>
                <w:sz w:val="20"/>
              </w:rPr>
            </w:pPr>
            <w:r>
              <w:rPr>
                <w:sz w:val="20"/>
              </w:rPr>
              <w:t>三、规章制度</w:t>
            </w:r>
          </w:p>
        </w:tc>
        <w:tc>
          <w:tcPr>
            <w:tcW w:w="12920" w:type="dxa"/>
          </w:tcPr>
          <w:p>
            <w:pPr>
              <w:pStyle w:val="9"/>
              <w:spacing w:before="27" w:line="292" w:lineRule="auto"/>
              <w:ind w:left="108" w:right="-15"/>
              <w:rPr>
                <w:sz w:val="20"/>
              </w:rPr>
            </w:pPr>
            <w:r>
              <w:rPr>
                <w:spacing w:val="-9"/>
                <w:w w:val="99"/>
                <w:sz w:val="20"/>
              </w:rPr>
              <w:t>兽药经营企业应当建立质量管理体系，制定管理制度、操作程序等质量管理文件。质量管理文件应当包括下列内容：</w:t>
            </w:r>
            <w:r>
              <w:rPr>
                <w:spacing w:val="-3"/>
                <w:w w:val="99"/>
                <w:sz w:val="20"/>
              </w:rPr>
              <w:t>（</w:t>
            </w:r>
            <w:r>
              <w:rPr>
                <w:spacing w:val="2"/>
                <w:w w:val="99"/>
                <w:sz w:val="20"/>
              </w:rPr>
              <w:t>一</w:t>
            </w:r>
            <w:r>
              <w:rPr>
                <w:spacing w:val="-51"/>
                <w:w w:val="99"/>
                <w:sz w:val="20"/>
              </w:rPr>
              <w:t>）</w:t>
            </w:r>
            <w:r>
              <w:rPr>
                <w:spacing w:val="-11"/>
                <w:w w:val="99"/>
                <w:sz w:val="20"/>
              </w:rPr>
              <w:t>企业质量管理目标；</w:t>
            </w:r>
            <w:r>
              <w:rPr>
                <w:w w:val="99"/>
                <w:sz w:val="20"/>
              </w:rPr>
              <w:t>（二）</w:t>
            </w:r>
            <w:r>
              <w:rPr>
                <w:spacing w:val="-2"/>
                <w:sz w:val="20"/>
              </w:rPr>
              <w:t>企业组织机构、岗位和人员职责；</w:t>
            </w:r>
            <w:r>
              <w:rPr>
                <w:spacing w:val="-6"/>
                <w:sz w:val="20"/>
              </w:rPr>
              <w:t>（</w:t>
            </w:r>
            <w:r>
              <w:rPr>
                <w:sz w:val="20"/>
              </w:rPr>
              <w:t>三</w:t>
            </w:r>
            <w:r>
              <w:rPr>
                <w:spacing w:val="-5"/>
                <w:sz w:val="20"/>
              </w:rPr>
              <w:t>）</w:t>
            </w:r>
            <w:r>
              <w:rPr>
                <w:spacing w:val="-1"/>
                <w:sz w:val="20"/>
              </w:rPr>
              <w:t>对供货单位和所购兽药的质量评估制度；</w:t>
            </w:r>
            <w:r>
              <w:rPr>
                <w:spacing w:val="-8"/>
                <w:sz w:val="20"/>
              </w:rPr>
              <w:t>（</w:t>
            </w:r>
            <w:r>
              <w:rPr>
                <w:sz w:val="20"/>
              </w:rPr>
              <w:t>四</w:t>
            </w:r>
            <w:r>
              <w:rPr>
                <w:spacing w:val="-5"/>
                <w:sz w:val="20"/>
              </w:rPr>
              <w:t>）兽药采购、验收、入库、陈列、储存、运输、销售、出库</w:t>
            </w:r>
            <w:r>
              <w:rPr>
                <w:spacing w:val="-6"/>
                <w:sz w:val="20"/>
              </w:rPr>
              <w:t>等环节的管理制度；</w:t>
            </w:r>
            <w:r>
              <w:rPr>
                <w:spacing w:val="-7"/>
                <w:sz w:val="20"/>
              </w:rPr>
              <w:t>（</w:t>
            </w:r>
            <w:r>
              <w:rPr>
                <w:sz w:val="20"/>
              </w:rPr>
              <w:t>五</w:t>
            </w:r>
            <w:r>
              <w:rPr>
                <w:spacing w:val="-7"/>
                <w:sz w:val="20"/>
              </w:rPr>
              <w:t>）</w:t>
            </w:r>
            <w:r>
              <w:rPr>
                <w:spacing w:val="-1"/>
                <w:sz w:val="20"/>
              </w:rPr>
              <w:t>环境卫生的管理制度；</w:t>
            </w:r>
            <w:r>
              <w:rPr>
                <w:spacing w:val="-7"/>
                <w:sz w:val="20"/>
              </w:rPr>
              <w:t>（</w:t>
            </w:r>
            <w:r>
              <w:rPr>
                <w:sz w:val="20"/>
              </w:rPr>
              <w:t>六</w:t>
            </w:r>
            <w:r>
              <w:rPr>
                <w:spacing w:val="-7"/>
                <w:sz w:val="20"/>
              </w:rPr>
              <w:t>）</w:t>
            </w:r>
            <w:r>
              <w:rPr>
                <w:spacing w:val="-1"/>
                <w:sz w:val="20"/>
              </w:rPr>
              <w:t>兽药不良反应报告制度；</w:t>
            </w:r>
            <w:r>
              <w:rPr>
                <w:spacing w:val="-6"/>
                <w:sz w:val="20"/>
              </w:rPr>
              <w:t>（</w:t>
            </w:r>
            <w:r>
              <w:rPr>
                <w:sz w:val="20"/>
              </w:rPr>
              <w:t>七</w:t>
            </w:r>
            <w:r>
              <w:rPr>
                <w:spacing w:val="-5"/>
                <w:sz w:val="20"/>
              </w:rPr>
              <w:t>）</w:t>
            </w:r>
            <w:r>
              <w:rPr>
                <w:spacing w:val="-1"/>
                <w:sz w:val="20"/>
              </w:rPr>
              <w:t>不合格兽药和退货兽药的管理制度；</w:t>
            </w:r>
            <w:r>
              <w:rPr>
                <w:spacing w:val="-8"/>
                <w:sz w:val="20"/>
              </w:rPr>
              <w:t>（</w:t>
            </w:r>
            <w:r>
              <w:rPr>
                <w:sz w:val="20"/>
              </w:rPr>
              <w:t>八</w:t>
            </w:r>
            <w:r>
              <w:rPr>
                <w:spacing w:val="-5"/>
                <w:sz w:val="20"/>
              </w:rPr>
              <w:t>）</w:t>
            </w:r>
            <w:r>
              <w:rPr>
                <w:spacing w:val="-2"/>
                <w:sz w:val="20"/>
              </w:rPr>
              <w:t>质量事故、质</w:t>
            </w:r>
          </w:p>
          <w:p>
            <w:pPr>
              <w:pStyle w:val="9"/>
              <w:spacing w:line="254" w:lineRule="exact"/>
              <w:ind w:left="108"/>
              <w:rPr>
                <w:sz w:val="20"/>
              </w:rPr>
            </w:pPr>
            <w:r>
              <w:rPr>
                <w:sz w:val="20"/>
              </w:rPr>
              <w:t>量查询和质量投诉的管理制度；（九）企业记录、档案和凭证的管理制度；（十）质量管理培训、考核制度。</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6" w:hRule="atLeast"/>
        </w:trPr>
        <w:tc>
          <w:tcPr>
            <w:tcW w:w="547" w:type="dxa"/>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25"/>
              <w:ind w:left="102" w:right="94"/>
              <w:jc w:val="center"/>
              <w:rPr>
                <w:sz w:val="20"/>
              </w:rPr>
            </w:pPr>
            <w:r>
              <w:rPr>
                <w:sz w:val="20"/>
              </w:rPr>
              <w:t>*23</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兽药经营企业应当建立下列记录：</w:t>
            </w:r>
          </w:p>
          <w:p>
            <w:pPr>
              <w:pStyle w:val="9"/>
              <w:spacing w:before="56"/>
              <w:ind w:left="108"/>
              <w:rPr>
                <w:sz w:val="20"/>
              </w:rPr>
            </w:pPr>
            <w:r>
              <w:rPr>
                <w:sz w:val="20"/>
              </w:rPr>
              <w:t>（一）人员培训、考核记录；</w:t>
            </w:r>
          </w:p>
          <w:p>
            <w:pPr>
              <w:pStyle w:val="9"/>
              <w:spacing w:before="56"/>
              <w:ind w:left="108"/>
              <w:rPr>
                <w:sz w:val="20"/>
              </w:rPr>
            </w:pPr>
            <w:r>
              <w:rPr>
                <w:sz w:val="20"/>
              </w:rPr>
              <w:t>（二）控制温度、湿度的设施、设备的维护、保养、清洁、运行状态记录；</w:t>
            </w:r>
          </w:p>
          <w:p>
            <w:pPr>
              <w:pStyle w:val="9"/>
              <w:spacing w:before="55"/>
              <w:ind w:left="108"/>
              <w:rPr>
                <w:sz w:val="20"/>
              </w:rPr>
            </w:pPr>
            <w:r>
              <w:rPr>
                <w:sz w:val="20"/>
              </w:rPr>
              <w:t>（三）兽药质量评估记录；</w:t>
            </w:r>
          </w:p>
          <w:p>
            <w:pPr>
              <w:pStyle w:val="9"/>
              <w:spacing w:before="56"/>
              <w:ind w:left="108"/>
              <w:rPr>
                <w:sz w:val="20"/>
              </w:rPr>
            </w:pPr>
            <w:r>
              <w:rPr>
                <w:sz w:val="20"/>
              </w:rPr>
              <w:t>（四）兽药采购、验收、入库、储存、销售、出库等记录；</w:t>
            </w:r>
          </w:p>
          <w:p>
            <w:pPr>
              <w:pStyle w:val="9"/>
              <w:spacing w:before="56"/>
              <w:ind w:left="108"/>
              <w:rPr>
                <w:sz w:val="20"/>
              </w:rPr>
            </w:pPr>
            <w:r>
              <w:rPr>
                <w:sz w:val="20"/>
              </w:rPr>
              <w:t>（五）兽药清查记录；</w:t>
            </w:r>
          </w:p>
          <w:p>
            <w:pPr>
              <w:pStyle w:val="9"/>
              <w:spacing w:before="56"/>
              <w:ind w:left="108"/>
              <w:rPr>
                <w:sz w:val="20"/>
              </w:rPr>
            </w:pPr>
            <w:r>
              <w:rPr>
                <w:sz w:val="20"/>
              </w:rPr>
              <w:t>（六）兽药质量投诉、质量纠纷、质量事故、不良反应等记录；</w:t>
            </w:r>
          </w:p>
          <w:p>
            <w:pPr>
              <w:pStyle w:val="9"/>
              <w:spacing w:before="55"/>
              <w:ind w:left="108"/>
              <w:rPr>
                <w:sz w:val="20"/>
              </w:rPr>
            </w:pPr>
            <w:r>
              <w:rPr>
                <w:sz w:val="20"/>
              </w:rPr>
              <w:t>（七）不合格兽药和退货兽药的处理记录；</w:t>
            </w:r>
          </w:p>
          <w:p>
            <w:pPr>
              <w:pStyle w:val="9"/>
              <w:spacing w:before="56"/>
              <w:ind w:left="108"/>
              <w:rPr>
                <w:sz w:val="20"/>
              </w:rPr>
            </w:pPr>
            <w:r>
              <w:rPr>
                <w:sz w:val="20"/>
              </w:rPr>
              <w:t>（八）兽医行政管理部门的监督检查情况记录。</w:t>
            </w:r>
          </w:p>
        </w:tc>
        <w:tc>
          <w:tcPr>
            <w:tcW w:w="537" w:type="dxa"/>
          </w:tcPr>
          <w:p>
            <w:pPr>
              <w:pStyle w:val="9"/>
              <w:rPr>
                <w:rFonts w:ascii="Times New Roman"/>
                <w:sz w:val="18"/>
              </w:rPr>
            </w:pPr>
          </w:p>
        </w:tc>
      </w:tr>
    </w:tbl>
    <w:p>
      <w:pPr>
        <w:spacing w:after="0"/>
        <w:rPr>
          <w:rFonts w:ascii="Times New Roman"/>
          <w:sz w:val="18"/>
        </w:rPr>
        <w:sectPr>
          <w:pgSz w:w="16840" w:h="11910" w:orient="landscape"/>
          <w:pgMar w:top="1100" w:right="660" w:bottom="1100" w:left="1320" w:header="0" w:footer="909" w:gutter="0"/>
          <w:cols w:space="720" w:num="1"/>
        </w:sectPr>
      </w:pPr>
    </w:p>
    <w:p>
      <w:pPr>
        <w:pStyle w:val="4"/>
        <w:rPr>
          <w:rFonts w:ascii="Times New Roman"/>
          <w:sz w:val="20"/>
        </w:rPr>
      </w:pPr>
    </w:p>
    <w:p>
      <w:pPr>
        <w:pStyle w:val="4"/>
        <w:rPr>
          <w:rFonts w:ascii="Times New Roman"/>
          <w:sz w:val="20"/>
        </w:rPr>
      </w:pPr>
    </w:p>
    <w:p>
      <w:pPr>
        <w:pStyle w:val="4"/>
        <w:spacing w:before="4"/>
        <w:rPr>
          <w:rFonts w:ascii="Times New Roman"/>
          <w:sz w:val="20"/>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616"/>
        <w:gridCol w:w="12920"/>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47" w:type="dxa"/>
          </w:tcPr>
          <w:p>
            <w:pPr>
              <w:pStyle w:val="9"/>
              <w:rPr>
                <w:rFonts w:ascii="Times New Roman"/>
                <w:sz w:val="16"/>
              </w:rPr>
            </w:pPr>
          </w:p>
          <w:p>
            <w:pPr>
              <w:pStyle w:val="9"/>
              <w:spacing w:before="1"/>
              <w:ind w:left="102" w:right="94"/>
              <w:jc w:val="center"/>
              <w:rPr>
                <w:sz w:val="20"/>
              </w:rPr>
            </w:pPr>
            <w:r>
              <w:rPr>
                <w:sz w:val="20"/>
              </w:rPr>
              <w:t>24</w:t>
            </w:r>
          </w:p>
        </w:tc>
        <w:tc>
          <w:tcPr>
            <w:tcW w:w="616" w:type="dxa"/>
            <w:vMerge w:val="restart"/>
          </w:tcPr>
          <w:p>
            <w:pPr>
              <w:pStyle w:val="9"/>
              <w:rPr>
                <w:rFonts w:ascii="Times New Roman"/>
                <w:sz w:val="18"/>
              </w:rPr>
            </w:pPr>
          </w:p>
        </w:tc>
        <w:tc>
          <w:tcPr>
            <w:tcW w:w="12920" w:type="dxa"/>
          </w:tcPr>
          <w:p>
            <w:pPr>
              <w:pStyle w:val="9"/>
              <w:spacing w:before="29"/>
              <w:ind w:left="108"/>
              <w:rPr>
                <w:sz w:val="20"/>
              </w:rPr>
            </w:pPr>
            <w:r>
              <w:rPr>
                <w:sz w:val="20"/>
              </w:rPr>
              <w:t>兽药经营企业应当在兽药经营活动的全过程中建立各类真实、准确、完整的记录，载明足够的信息，并有经手人或者责任人签字，确保兽药产品和</w:t>
            </w:r>
          </w:p>
          <w:p>
            <w:pPr>
              <w:pStyle w:val="9"/>
              <w:spacing w:before="55"/>
              <w:ind w:left="108"/>
              <w:rPr>
                <w:sz w:val="20"/>
              </w:rPr>
            </w:pPr>
            <w:r>
              <w:rPr>
                <w:sz w:val="20"/>
              </w:rPr>
              <w:t>相关人员的可追溯性。</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7" w:type="dxa"/>
          </w:tcPr>
          <w:p>
            <w:pPr>
              <w:pStyle w:val="9"/>
              <w:spacing w:before="28"/>
              <w:ind w:left="102" w:right="94"/>
              <w:jc w:val="center"/>
              <w:rPr>
                <w:sz w:val="20"/>
              </w:rPr>
            </w:pPr>
            <w:r>
              <w:rPr>
                <w:sz w:val="20"/>
              </w:rPr>
              <w:t>25</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记录不得随意涂改、伪造和变造。确需修改的，应当签名、注明日期，原数据应当清晰可辨。</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7" w:type="dxa"/>
          </w:tcPr>
          <w:p>
            <w:pPr>
              <w:pStyle w:val="9"/>
              <w:rPr>
                <w:rFonts w:ascii="Times New Roman"/>
                <w:sz w:val="20"/>
              </w:rPr>
            </w:pPr>
          </w:p>
          <w:p>
            <w:pPr>
              <w:pStyle w:val="9"/>
              <w:spacing w:before="1"/>
              <w:rPr>
                <w:rFonts w:ascii="Times New Roman"/>
                <w:sz w:val="23"/>
              </w:rPr>
            </w:pPr>
          </w:p>
          <w:p>
            <w:pPr>
              <w:pStyle w:val="9"/>
              <w:ind w:left="102" w:right="94"/>
              <w:jc w:val="center"/>
              <w:rPr>
                <w:sz w:val="20"/>
              </w:rPr>
            </w:pPr>
            <w:r>
              <w:rPr>
                <w:sz w:val="20"/>
              </w:rPr>
              <w:t>26</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兽药经营企业应当建立兽药质量管理档案，设置档案管理室或者档案柜，并由专人负责。质量管理档案应当包括：</w:t>
            </w:r>
          </w:p>
          <w:p>
            <w:pPr>
              <w:pStyle w:val="9"/>
              <w:spacing w:before="55"/>
              <w:ind w:left="108"/>
              <w:rPr>
                <w:sz w:val="20"/>
              </w:rPr>
            </w:pPr>
            <w:r>
              <w:rPr>
                <w:sz w:val="20"/>
              </w:rPr>
              <w:t>（一）人员档案、培训档案、设备设施档案、供应商质量评估档案、产品质量档案；</w:t>
            </w:r>
          </w:p>
          <w:p>
            <w:pPr>
              <w:pStyle w:val="9"/>
              <w:spacing w:before="56"/>
              <w:ind w:left="108"/>
              <w:rPr>
                <w:sz w:val="20"/>
              </w:rPr>
            </w:pPr>
            <w:r>
              <w:rPr>
                <w:sz w:val="20"/>
              </w:rPr>
              <w:t>（二）开具的处方、进货及销售凭证；</w:t>
            </w:r>
          </w:p>
          <w:p>
            <w:pPr>
              <w:pStyle w:val="9"/>
              <w:spacing w:before="56"/>
              <w:ind w:left="108"/>
              <w:rPr>
                <w:sz w:val="20"/>
              </w:rPr>
            </w:pPr>
            <w:r>
              <w:rPr>
                <w:sz w:val="20"/>
              </w:rPr>
              <w:t>（三）购销记录及《兽药经营质量管理规范》规定的其他记录。</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7" w:type="dxa"/>
          </w:tcPr>
          <w:p>
            <w:pPr>
              <w:pStyle w:val="9"/>
              <w:spacing w:before="27"/>
              <w:ind w:left="102" w:right="94"/>
              <w:jc w:val="center"/>
              <w:rPr>
                <w:sz w:val="20"/>
              </w:rPr>
            </w:pPr>
            <w:r>
              <w:rPr>
                <w:sz w:val="20"/>
              </w:rPr>
              <w:t>27</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质量管理档案不得涂改，保存期限不得少于 2 年；购销等记录和凭证应当保存至产品有效期后一年。</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2" w:hRule="atLeast"/>
        </w:trPr>
        <w:tc>
          <w:tcPr>
            <w:tcW w:w="547" w:type="dxa"/>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17"/>
              <w:ind w:left="102" w:right="94"/>
              <w:jc w:val="center"/>
              <w:rPr>
                <w:sz w:val="20"/>
              </w:rPr>
            </w:pPr>
            <w:r>
              <w:rPr>
                <w:sz w:val="20"/>
              </w:rPr>
              <w:t>28</w:t>
            </w:r>
          </w:p>
        </w:tc>
        <w:tc>
          <w:tcPr>
            <w:tcW w:w="616" w:type="dxa"/>
            <w:vMerge w:val="restart"/>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24" w:line="292" w:lineRule="auto"/>
              <w:ind w:left="107" w:right="97"/>
              <w:jc w:val="both"/>
              <w:rPr>
                <w:sz w:val="20"/>
              </w:rPr>
            </w:pPr>
            <w:r>
              <w:rPr>
                <w:sz w:val="20"/>
              </w:rPr>
              <w:t>四、采购与入库</w:t>
            </w:r>
          </w:p>
        </w:tc>
        <w:tc>
          <w:tcPr>
            <w:tcW w:w="12920" w:type="dxa"/>
          </w:tcPr>
          <w:p>
            <w:pPr>
              <w:pStyle w:val="9"/>
              <w:spacing w:before="27"/>
              <w:ind w:left="108"/>
              <w:rPr>
                <w:sz w:val="20"/>
              </w:rPr>
            </w:pPr>
            <w:r>
              <w:rPr>
                <w:sz w:val="20"/>
              </w:rPr>
              <w:t>兽药经营企业应当采购合法兽药产品。在购进兽药应按照以下程序进行：</w:t>
            </w:r>
          </w:p>
          <w:p>
            <w:pPr>
              <w:pStyle w:val="9"/>
              <w:spacing w:before="56"/>
              <w:ind w:left="108"/>
              <w:rPr>
                <w:sz w:val="20"/>
              </w:rPr>
            </w:pPr>
            <w:r>
              <w:rPr>
                <w:sz w:val="20"/>
              </w:rPr>
              <w:t>（一）确定供货单位的资质及质量信誉。</w:t>
            </w:r>
          </w:p>
          <w:p>
            <w:pPr>
              <w:pStyle w:val="9"/>
              <w:spacing w:before="55"/>
              <w:ind w:left="108"/>
              <w:rPr>
                <w:sz w:val="20"/>
              </w:rPr>
            </w:pPr>
            <w:r>
              <w:rPr>
                <w:sz w:val="20"/>
              </w:rPr>
              <w:t>（二）审核所购入兽药的合法性和质量可靠性。</w:t>
            </w:r>
          </w:p>
          <w:p>
            <w:pPr>
              <w:pStyle w:val="9"/>
              <w:spacing w:before="56"/>
              <w:ind w:left="108"/>
              <w:rPr>
                <w:sz w:val="20"/>
              </w:rPr>
            </w:pPr>
            <w:r>
              <w:rPr>
                <w:sz w:val="20"/>
              </w:rPr>
              <w:t>（三）对与本企业进行业务联系的供货单位销售人员，进行合法资格的确认。</w:t>
            </w:r>
          </w:p>
          <w:p>
            <w:pPr>
              <w:pStyle w:val="9"/>
              <w:spacing w:before="56"/>
              <w:ind w:left="108"/>
              <w:rPr>
                <w:sz w:val="20"/>
              </w:rPr>
            </w:pPr>
            <w:r>
              <w:rPr>
                <w:sz w:val="20"/>
              </w:rPr>
              <w:t>（四）对首次经营的品种，应填写购进兽药品种审批表，并经企业质量管理机构和主管领导的审核批准。</w:t>
            </w:r>
          </w:p>
          <w:p>
            <w:pPr>
              <w:pStyle w:val="9"/>
              <w:spacing w:before="56"/>
              <w:ind w:left="108"/>
              <w:rPr>
                <w:sz w:val="20"/>
              </w:rPr>
            </w:pPr>
            <w:r>
              <w:rPr>
                <w:sz w:val="20"/>
              </w:rPr>
              <w:t>（五）签订有明确质量条款的购货合同。</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0" w:hRule="atLeast"/>
        </w:trPr>
        <w:tc>
          <w:tcPr>
            <w:tcW w:w="547" w:type="dxa"/>
          </w:tcPr>
          <w:p>
            <w:pPr>
              <w:pStyle w:val="9"/>
              <w:rPr>
                <w:rFonts w:ascii="Times New Roman"/>
                <w:sz w:val="20"/>
              </w:rPr>
            </w:pPr>
          </w:p>
          <w:p>
            <w:pPr>
              <w:pStyle w:val="9"/>
              <w:spacing w:before="123"/>
              <w:ind w:left="102" w:right="94"/>
              <w:jc w:val="center"/>
              <w:rPr>
                <w:sz w:val="20"/>
              </w:rPr>
            </w:pPr>
            <w:r>
              <w:rPr>
                <w:sz w:val="20"/>
              </w:rPr>
              <w:t>*29</w:t>
            </w:r>
          </w:p>
        </w:tc>
        <w:tc>
          <w:tcPr>
            <w:tcW w:w="616" w:type="dxa"/>
            <w:vMerge w:val="continue"/>
            <w:tcBorders>
              <w:top w:val="nil"/>
            </w:tcBorders>
          </w:tcPr>
          <w:p>
            <w:pPr>
              <w:rPr>
                <w:sz w:val="2"/>
                <w:szCs w:val="2"/>
              </w:rPr>
            </w:pPr>
          </w:p>
        </w:tc>
        <w:tc>
          <w:tcPr>
            <w:tcW w:w="12920" w:type="dxa"/>
          </w:tcPr>
          <w:p>
            <w:pPr>
              <w:pStyle w:val="9"/>
              <w:spacing w:before="1"/>
              <w:rPr>
                <w:rFonts w:ascii="Times New Roman"/>
                <w:sz w:val="17"/>
              </w:rPr>
            </w:pPr>
          </w:p>
          <w:p>
            <w:pPr>
              <w:pStyle w:val="9"/>
              <w:spacing w:line="292" w:lineRule="auto"/>
              <w:ind w:left="108" w:right="-15"/>
              <w:rPr>
                <w:sz w:val="20"/>
              </w:rPr>
            </w:pPr>
            <w:r>
              <w:rPr>
                <w:spacing w:val="-5"/>
                <w:w w:val="95"/>
                <w:sz w:val="20"/>
              </w:rPr>
              <w:t>兽药经营企业应当对供货单位的资质、质量保证能力和质量信誉等进行审核。对供货单位资质的审核，应当包括以下内容：</w:t>
            </w:r>
            <w:r>
              <w:rPr>
                <w:spacing w:val="-23"/>
                <w:w w:val="95"/>
                <w:sz w:val="20"/>
              </w:rPr>
              <w:t>（</w:t>
            </w:r>
            <w:r>
              <w:rPr>
                <w:w w:val="95"/>
                <w:sz w:val="20"/>
              </w:rPr>
              <w:t>一</w:t>
            </w:r>
            <w:r>
              <w:rPr>
                <w:spacing w:val="-24"/>
                <w:w w:val="95"/>
                <w:sz w:val="20"/>
              </w:rPr>
              <w:t>）</w:t>
            </w:r>
            <w:r>
              <w:rPr>
                <w:spacing w:val="-10"/>
                <w:w w:val="95"/>
                <w:sz w:val="20"/>
              </w:rPr>
              <w:t>营业执照。</w:t>
            </w:r>
            <w:r>
              <w:rPr>
                <w:w w:val="95"/>
                <w:sz w:val="20"/>
              </w:rPr>
              <w:t xml:space="preserve">（二）     </w:t>
            </w:r>
            <w:r>
              <w:rPr>
                <w:spacing w:val="-5"/>
                <w:sz w:val="20"/>
              </w:rPr>
              <w:t xml:space="preserve">兽药生产许可证、兽药 </w:t>
            </w:r>
            <w:r>
              <w:rPr>
                <w:sz w:val="20"/>
              </w:rPr>
              <w:t>GMP</w:t>
            </w:r>
            <w:r>
              <w:rPr>
                <w:spacing w:val="-18"/>
                <w:sz w:val="20"/>
              </w:rPr>
              <w:t xml:space="preserve"> 证书</w:t>
            </w:r>
            <w:r>
              <w:rPr>
                <w:sz w:val="20"/>
              </w:rPr>
              <w:t>（供货单位为生产企业的）。（三）兽药经营许可证（供货单位为经营企业的）。</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2" w:hRule="atLeast"/>
        </w:trPr>
        <w:tc>
          <w:tcPr>
            <w:tcW w:w="547" w:type="dxa"/>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19"/>
              <w:ind w:left="102" w:right="94"/>
              <w:jc w:val="center"/>
              <w:rPr>
                <w:sz w:val="20"/>
              </w:rPr>
            </w:pPr>
            <w:r>
              <w:rPr>
                <w:sz w:val="20"/>
              </w:rPr>
              <w:t>*30</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兽药经营企业应当对首次经营品种的合法性及质量情况进行审核，审核包括以下内容：</w:t>
            </w:r>
          </w:p>
          <w:p>
            <w:pPr>
              <w:pStyle w:val="9"/>
              <w:spacing w:before="56"/>
              <w:ind w:left="108"/>
              <w:rPr>
                <w:sz w:val="20"/>
              </w:rPr>
            </w:pPr>
            <w:r>
              <w:rPr>
                <w:w w:val="95"/>
                <w:sz w:val="20"/>
              </w:rPr>
              <w:t>（一）核实兽药的产品批准文号。</w:t>
            </w:r>
          </w:p>
          <w:p>
            <w:pPr>
              <w:pStyle w:val="9"/>
              <w:spacing w:before="56"/>
              <w:ind w:left="108"/>
              <w:rPr>
                <w:sz w:val="20"/>
              </w:rPr>
            </w:pPr>
            <w:r>
              <w:rPr>
                <w:w w:val="95"/>
                <w:sz w:val="20"/>
              </w:rPr>
              <w:t>（二）兽药质量标准和检验报告。</w:t>
            </w:r>
          </w:p>
          <w:p>
            <w:pPr>
              <w:pStyle w:val="9"/>
              <w:spacing w:before="56"/>
              <w:ind w:left="108"/>
              <w:rPr>
                <w:sz w:val="20"/>
              </w:rPr>
            </w:pPr>
            <w:r>
              <w:rPr>
                <w:sz w:val="20"/>
              </w:rPr>
              <w:t>（三）审核兽药标签、说明书等内容是否符合规定。</w:t>
            </w:r>
          </w:p>
          <w:p>
            <w:pPr>
              <w:pStyle w:val="9"/>
              <w:spacing w:before="55"/>
              <w:ind w:left="108"/>
              <w:rPr>
                <w:sz w:val="20"/>
              </w:rPr>
            </w:pPr>
            <w:r>
              <w:rPr>
                <w:sz w:val="20"/>
              </w:rPr>
              <w:t>（四）了解兽药的性能、用途、储存条件以及质量信誉等内容。</w:t>
            </w:r>
          </w:p>
          <w:p>
            <w:pPr>
              <w:pStyle w:val="9"/>
              <w:spacing w:before="56"/>
              <w:ind w:left="108"/>
              <w:rPr>
                <w:sz w:val="20"/>
              </w:rPr>
            </w:pPr>
            <w:r>
              <w:rPr>
                <w:sz w:val="20"/>
              </w:rPr>
              <w:t>（五）进口兽药的应当核实进口兽药注册证书、兽用生物制品进口许可证、进口兽药通关单等内容。</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5" w:hRule="atLeast"/>
        </w:trPr>
        <w:tc>
          <w:tcPr>
            <w:tcW w:w="547" w:type="dxa"/>
          </w:tcPr>
          <w:p>
            <w:pPr>
              <w:pStyle w:val="9"/>
              <w:spacing w:before="134"/>
              <w:ind w:left="102" w:right="94"/>
              <w:jc w:val="center"/>
              <w:rPr>
                <w:sz w:val="20"/>
              </w:rPr>
            </w:pPr>
            <w:r>
              <w:rPr>
                <w:sz w:val="20"/>
              </w:rPr>
              <w:t>*31</w:t>
            </w:r>
          </w:p>
        </w:tc>
        <w:tc>
          <w:tcPr>
            <w:tcW w:w="616" w:type="dxa"/>
            <w:vMerge w:val="continue"/>
            <w:tcBorders>
              <w:top w:val="nil"/>
            </w:tcBorders>
          </w:tcPr>
          <w:p>
            <w:pPr>
              <w:rPr>
                <w:sz w:val="2"/>
                <w:szCs w:val="2"/>
              </w:rPr>
            </w:pPr>
          </w:p>
        </w:tc>
        <w:tc>
          <w:tcPr>
            <w:tcW w:w="12920" w:type="dxa"/>
          </w:tcPr>
          <w:p>
            <w:pPr>
              <w:pStyle w:val="9"/>
              <w:spacing w:before="134"/>
              <w:ind w:left="108" w:right="-15"/>
              <w:rPr>
                <w:sz w:val="20"/>
              </w:rPr>
            </w:pPr>
            <w:r>
              <w:rPr>
                <w:spacing w:val="-6"/>
                <w:w w:val="95"/>
                <w:sz w:val="20"/>
              </w:rPr>
              <w:t>兽药经营企业应当对与本企业进行业务联系的供货单位销售人员进行合法资格的确认。确认内容应包括：供货单位的委托书、销售人员的身份证明。</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547" w:type="dxa"/>
          </w:tcPr>
          <w:p>
            <w:pPr>
              <w:pStyle w:val="9"/>
              <w:spacing w:before="28"/>
              <w:ind w:left="102" w:right="94"/>
              <w:jc w:val="center"/>
              <w:rPr>
                <w:sz w:val="20"/>
              </w:rPr>
            </w:pPr>
            <w:r>
              <w:rPr>
                <w:sz w:val="20"/>
              </w:rPr>
              <w:t>*32</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兽药经营企业应与供货单位签订采购合同，合同中应有明确质量的条款。</w:t>
            </w:r>
          </w:p>
        </w:tc>
        <w:tc>
          <w:tcPr>
            <w:tcW w:w="537" w:type="dxa"/>
          </w:tcPr>
          <w:p>
            <w:pPr>
              <w:pStyle w:val="9"/>
              <w:rPr>
                <w:rFonts w:ascii="Times New Roman"/>
                <w:sz w:val="18"/>
              </w:rPr>
            </w:pPr>
          </w:p>
        </w:tc>
      </w:tr>
    </w:tbl>
    <w:p>
      <w:pPr>
        <w:spacing w:after="0"/>
        <w:rPr>
          <w:rFonts w:ascii="Times New Roman"/>
          <w:sz w:val="18"/>
        </w:rPr>
        <w:sectPr>
          <w:pgSz w:w="16840" w:h="11910" w:orient="landscape"/>
          <w:pgMar w:top="1100" w:right="660" w:bottom="1100" w:left="1320" w:header="0" w:footer="909" w:gutter="0"/>
          <w:cols w:space="720" w:num="1"/>
        </w:sectPr>
      </w:pPr>
    </w:p>
    <w:p>
      <w:pPr>
        <w:pStyle w:val="4"/>
        <w:rPr>
          <w:rFonts w:ascii="Times New Roman"/>
          <w:sz w:val="20"/>
        </w:rPr>
      </w:pPr>
    </w:p>
    <w:p>
      <w:pPr>
        <w:pStyle w:val="4"/>
        <w:rPr>
          <w:rFonts w:ascii="Times New Roman"/>
          <w:sz w:val="20"/>
        </w:rPr>
      </w:pPr>
    </w:p>
    <w:p>
      <w:pPr>
        <w:pStyle w:val="4"/>
        <w:spacing w:before="4"/>
        <w:rPr>
          <w:rFonts w:ascii="Times New Roman"/>
          <w:sz w:val="20"/>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616"/>
        <w:gridCol w:w="12920"/>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47" w:type="dxa"/>
          </w:tcPr>
          <w:p>
            <w:pPr>
              <w:pStyle w:val="9"/>
              <w:rPr>
                <w:rFonts w:ascii="Times New Roman"/>
                <w:sz w:val="16"/>
              </w:rPr>
            </w:pPr>
          </w:p>
          <w:p>
            <w:pPr>
              <w:pStyle w:val="9"/>
              <w:spacing w:before="1"/>
              <w:ind w:left="102" w:right="94"/>
              <w:jc w:val="center"/>
              <w:rPr>
                <w:sz w:val="20"/>
              </w:rPr>
            </w:pPr>
            <w:r>
              <w:rPr>
                <w:sz w:val="20"/>
              </w:rPr>
              <w:t>*33</w:t>
            </w:r>
          </w:p>
        </w:tc>
        <w:tc>
          <w:tcPr>
            <w:tcW w:w="616" w:type="dxa"/>
            <w:vMerge w:val="restart"/>
          </w:tcPr>
          <w:p>
            <w:pPr>
              <w:pStyle w:val="9"/>
              <w:rPr>
                <w:rFonts w:ascii="Times New Roman"/>
                <w:sz w:val="18"/>
              </w:rPr>
            </w:pPr>
          </w:p>
        </w:tc>
        <w:tc>
          <w:tcPr>
            <w:tcW w:w="12920" w:type="dxa"/>
          </w:tcPr>
          <w:p>
            <w:pPr>
              <w:pStyle w:val="9"/>
              <w:spacing w:before="29"/>
              <w:ind w:left="108"/>
              <w:rPr>
                <w:sz w:val="20"/>
              </w:rPr>
            </w:pPr>
            <w:r>
              <w:rPr>
                <w:w w:val="95"/>
                <w:sz w:val="20"/>
              </w:rPr>
              <w:t>兽药经营企业购进兽药时，应当依照国家兽药管理规定、兽药标准和合同约定，</w:t>
            </w:r>
            <w:r>
              <w:rPr>
                <w:color w:val="FF0000"/>
                <w:w w:val="95"/>
                <w:sz w:val="20"/>
              </w:rPr>
              <w:t>对每批兽药</w:t>
            </w:r>
            <w:r>
              <w:rPr>
                <w:w w:val="95"/>
                <w:sz w:val="20"/>
              </w:rPr>
              <w:t>的包装、标签、说明书、质量合格证等内容进行检查，</w:t>
            </w:r>
          </w:p>
          <w:p>
            <w:pPr>
              <w:pStyle w:val="9"/>
              <w:spacing w:before="55"/>
              <w:ind w:left="108"/>
              <w:rPr>
                <w:sz w:val="20"/>
              </w:rPr>
            </w:pPr>
            <w:r>
              <w:rPr>
                <w:sz w:val="20"/>
              </w:rPr>
              <w:t>符合要求的方可购进。必要时，应当对购进兽药进行检验或者委托兽药检验机构进行检验，检验报告应当与产品质量档案一起保存。</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7" w:type="dxa"/>
            <w:tcBorders>
              <w:bottom w:val="nil"/>
            </w:tcBorders>
          </w:tcPr>
          <w:p>
            <w:pPr>
              <w:pStyle w:val="9"/>
              <w:rPr>
                <w:rFonts w:ascii="Times New Roman"/>
                <w:sz w:val="18"/>
              </w:rPr>
            </w:pPr>
          </w:p>
        </w:tc>
        <w:tc>
          <w:tcPr>
            <w:tcW w:w="616" w:type="dxa"/>
            <w:vMerge w:val="continue"/>
            <w:tcBorders>
              <w:top w:val="nil"/>
            </w:tcBorders>
          </w:tcPr>
          <w:p>
            <w:pPr>
              <w:rPr>
                <w:sz w:val="2"/>
                <w:szCs w:val="2"/>
              </w:rPr>
            </w:pPr>
          </w:p>
        </w:tc>
        <w:tc>
          <w:tcPr>
            <w:tcW w:w="12920" w:type="dxa"/>
            <w:tcBorders>
              <w:bottom w:val="nil"/>
            </w:tcBorders>
          </w:tcPr>
          <w:p>
            <w:pPr>
              <w:pStyle w:val="9"/>
              <w:spacing w:before="28"/>
              <w:ind w:left="108"/>
              <w:rPr>
                <w:sz w:val="20"/>
              </w:rPr>
            </w:pPr>
            <w:r>
              <w:rPr>
                <w:sz w:val="20"/>
              </w:rPr>
              <w:t>兽药质量</w:t>
            </w:r>
            <w:r>
              <w:rPr>
                <w:color w:val="FF0000"/>
                <w:sz w:val="20"/>
              </w:rPr>
              <w:t>验收</w:t>
            </w:r>
            <w:r>
              <w:rPr>
                <w:sz w:val="20"/>
              </w:rPr>
              <w:t>时，内外包装及标识的检查应当包括以下内容：</w:t>
            </w:r>
          </w:p>
        </w:tc>
        <w:tc>
          <w:tcPr>
            <w:tcW w:w="537" w:type="dxa"/>
            <w:vMerge w:val="restart"/>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7" w:type="dxa"/>
            <w:tcBorders>
              <w:top w:val="nil"/>
              <w:bottom w:val="nil"/>
            </w:tcBorders>
          </w:tcPr>
          <w:p>
            <w:pPr>
              <w:pStyle w:val="9"/>
              <w:rPr>
                <w:rFonts w:ascii="Times New Roman"/>
                <w:sz w:val="18"/>
              </w:rPr>
            </w:pPr>
          </w:p>
        </w:tc>
        <w:tc>
          <w:tcPr>
            <w:tcW w:w="616" w:type="dxa"/>
            <w:vMerge w:val="continue"/>
            <w:tcBorders>
              <w:top w:val="nil"/>
            </w:tcBorders>
          </w:tcPr>
          <w:p>
            <w:pPr>
              <w:rPr>
                <w:sz w:val="2"/>
                <w:szCs w:val="2"/>
              </w:rPr>
            </w:pPr>
          </w:p>
        </w:tc>
        <w:tc>
          <w:tcPr>
            <w:tcW w:w="12920" w:type="dxa"/>
            <w:tcBorders>
              <w:top w:val="nil"/>
              <w:bottom w:val="nil"/>
            </w:tcBorders>
          </w:tcPr>
          <w:p>
            <w:pPr>
              <w:pStyle w:val="9"/>
              <w:spacing w:before="22"/>
              <w:ind w:left="108"/>
              <w:rPr>
                <w:sz w:val="20"/>
              </w:rPr>
            </w:pPr>
            <w:r>
              <w:rPr>
                <w:sz w:val="20"/>
              </w:rPr>
              <w:t>（一）每件包装中，应有产品合格证。</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7" w:type="dxa"/>
            <w:tcBorders>
              <w:top w:val="nil"/>
              <w:bottom w:val="nil"/>
            </w:tcBorders>
          </w:tcPr>
          <w:p>
            <w:pPr>
              <w:pStyle w:val="9"/>
              <w:rPr>
                <w:rFonts w:ascii="Times New Roman"/>
                <w:sz w:val="18"/>
              </w:rPr>
            </w:pPr>
          </w:p>
        </w:tc>
        <w:tc>
          <w:tcPr>
            <w:tcW w:w="616" w:type="dxa"/>
            <w:vMerge w:val="continue"/>
            <w:tcBorders>
              <w:top w:val="nil"/>
            </w:tcBorders>
          </w:tcPr>
          <w:p>
            <w:pPr>
              <w:rPr>
                <w:sz w:val="2"/>
                <w:szCs w:val="2"/>
              </w:rPr>
            </w:pPr>
          </w:p>
        </w:tc>
        <w:tc>
          <w:tcPr>
            <w:tcW w:w="12920" w:type="dxa"/>
            <w:tcBorders>
              <w:top w:val="nil"/>
              <w:bottom w:val="nil"/>
            </w:tcBorders>
          </w:tcPr>
          <w:p>
            <w:pPr>
              <w:pStyle w:val="9"/>
              <w:spacing w:before="22"/>
              <w:ind w:left="108"/>
              <w:rPr>
                <w:sz w:val="20"/>
              </w:rPr>
            </w:pPr>
            <w:r>
              <w:rPr>
                <w:sz w:val="20"/>
              </w:rPr>
              <w:t>（二）兽药包装的标签和说明书，应当标明生产企业的名称、地址，有兽药的品名、规格、批准文号、产品批号、生产日期、有效期等；标签或说</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4" w:hRule="atLeast"/>
        </w:trPr>
        <w:tc>
          <w:tcPr>
            <w:tcW w:w="547" w:type="dxa"/>
            <w:tcBorders>
              <w:top w:val="nil"/>
              <w:bottom w:val="nil"/>
            </w:tcBorders>
          </w:tcPr>
          <w:p>
            <w:pPr>
              <w:pStyle w:val="9"/>
              <w:spacing w:before="178"/>
              <w:ind w:left="102" w:right="94"/>
              <w:jc w:val="center"/>
              <w:rPr>
                <w:sz w:val="20"/>
              </w:rPr>
            </w:pPr>
            <w:r>
              <w:rPr>
                <w:sz w:val="20"/>
              </w:rPr>
              <w:t>34</w:t>
            </w:r>
          </w:p>
        </w:tc>
        <w:tc>
          <w:tcPr>
            <w:tcW w:w="616" w:type="dxa"/>
            <w:vMerge w:val="continue"/>
            <w:tcBorders>
              <w:top w:val="nil"/>
            </w:tcBorders>
          </w:tcPr>
          <w:p>
            <w:pPr>
              <w:rPr>
                <w:sz w:val="2"/>
                <w:szCs w:val="2"/>
              </w:rPr>
            </w:pPr>
          </w:p>
        </w:tc>
        <w:tc>
          <w:tcPr>
            <w:tcW w:w="12920" w:type="dxa"/>
            <w:tcBorders>
              <w:top w:val="nil"/>
              <w:bottom w:val="nil"/>
            </w:tcBorders>
          </w:tcPr>
          <w:p>
            <w:pPr>
              <w:pStyle w:val="9"/>
              <w:spacing w:before="22"/>
              <w:ind w:left="108"/>
              <w:rPr>
                <w:sz w:val="20"/>
              </w:rPr>
            </w:pPr>
            <w:r>
              <w:rPr>
                <w:sz w:val="20"/>
              </w:rPr>
              <w:t>明书上还应有兽药的成分、适应症或功能主治、用法、用量、不良反应、注意事项以及贮藏条件等。</w:t>
            </w:r>
          </w:p>
          <w:p>
            <w:pPr>
              <w:pStyle w:val="9"/>
              <w:spacing w:before="56"/>
              <w:ind w:left="108"/>
              <w:rPr>
                <w:sz w:val="20"/>
              </w:rPr>
            </w:pPr>
            <w:r>
              <w:rPr>
                <w:w w:val="95"/>
                <w:sz w:val="20"/>
              </w:rPr>
              <w:t>（三）特殊管理药品的标签或说明书上应当有规定的标识和警示说明。兽用处方药和非处方药标签或说明书的包装标识应符合农业部的有关规定。</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547" w:type="dxa"/>
            <w:tcBorders>
              <w:top w:val="nil"/>
              <w:bottom w:val="nil"/>
            </w:tcBorders>
          </w:tcPr>
          <w:p>
            <w:pPr>
              <w:pStyle w:val="9"/>
              <w:rPr>
                <w:rFonts w:ascii="Times New Roman"/>
                <w:sz w:val="18"/>
              </w:rPr>
            </w:pPr>
          </w:p>
        </w:tc>
        <w:tc>
          <w:tcPr>
            <w:tcW w:w="616" w:type="dxa"/>
            <w:vMerge w:val="continue"/>
            <w:tcBorders>
              <w:top w:val="nil"/>
            </w:tcBorders>
          </w:tcPr>
          <w:p>
            <w:pPr>
              <w:rPr>
                <w:sz w:val="2"/>
                <w:szCs w:val="2"/>
              </w:rPr>
            </w:pPr>
          </w:p>
        </w:tc>
        <w:tc>
          <w:tcPr>
            <w:tcW w:w="12920" w:type="dxa"/>
            <w:tcBorders>
              <w:top w:val="nil"/>
              <w:bottom w:val="nil"/>
            </w:tcBorders>
          </w:tcPr>
          <w:p>
            <w:pPr>
              <w:pStyle w:val="9"/>
              <w:spacing w:before="22"/>
              <w:ind w:left="108"/>
              <w:rPr>
                <w:sz w:val="20"/>
              </w:rPr>
            </w:pPr>
            <w:r>
              <w:rPr>
                <w:sz w:val="20"/>
              </w:rPr>
              <w:t>（四）进口兽药应当有中文标注的标签和说明书。</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547" w:type="dxa"/>
            <w:tcBorders>
              <w:top w:val="nil"/>
              <w:bottom w:val="nil"/>
            </w:tcBorders>
          </w:tcPr>
          <w:p>
            <w:pPr>
              <w:pStyle w:val="9"/>
              <w:rPr>
                <w:rFonts w:ascii="Times New Roman"/>
                <w:sz w:val="18"/>
              </w:rPr>
            </w:pPr>
          </w:p>
        </w:tc>
        <w:tc>
          <w:tcPr>
            <w:tcW w:w="616" w:type="dxa"/>
            <w:vMerge w:val="continue"/>
            <w:tcBorders>
              <w:top w:val="nil"/>
            </w:tcBorders>
          </w:tcPr>
          <w:p>
            <w:pPr>
              <w:rPr>
                <w:sz w:val="2"/>
                <w:szCs w:val="2"/>
              </w:rPr>
            </w:pPr>
          </w:p>
        </w:tc>
        <w:tc>
          <w:tcPr>
            <w:tcW w:w="12920" w:type="dxa"/>
            <w:tcBorders>
              <w:top w:val="nil"/>
              <w:bottom w:val="nil"/>
            </w:tcBorders>
          </w:tcPr>
          <w:p>
            <w:pPr>
              <w:pStyle w:val="9"/>
              <w:spacing w:before="22"/>
              <w:ind w:left="108"/>
              <w:rPr>
                <w:sz w:val="20"/>
              </w:rPr>
            </w:pPr>
            <w:r>
              <w:rPr>
                <w:w w:val="95"/>
                <w:sz w:val="20"/>
              </w:rPr>
              <w:t>（五）中药材和中药饮片应有包装，并附有质量合格标志。每件包装上，中药材应标明品名、产地、供货单位；中药饮片应标明品名、生产企业、</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 w:hRule="atLeast"/>
        </w:trPr>
        <w:tc>
          <w:tcPr>
            <w:tcW w:w="547" w:type="dxa"/>
            <w:tcBorders>
              <w:top w:val="nil"/>
            </w:tcBorders>
          </w:tcPr>
          <w:p>
            <w:pPr>
              <w:pStyle w:val="9"/>
              <w:rPr>
                <w:rFonts w:ascii="Times New Roman"/>
                <w:sz w:val="18"/>
              </w:rPr>
            </w:pPr>
          </w:p>
        </w:tc>
        <w:tc>
          <w:tcPr>
            <w:tcW w:w="616" w:type="dxa"/>
            <w:vMerge w:val="continue"/>
            <w:tcBorders>
              <w:top w:val="nil"/>
            </w:tcBorders>
          </w:tcPr>
          <w:p>
            <w:pPr>
              <w:rPr>
                <w:sz w:val="2"/>
                <w:szCs w:val="2"/>
              </w:rPr>
            </w:pPr>
          </w:p>
        </w:tc>
        <w:tc>
          <w:tcPr>
            <w:tcW w:w="12920" w:type="dxa"/>
            <w:tcBorders>
              <w:top w:val="nil"/>
            </w:tcBorders>
          </w:tcPr>
          <w:p>
            <w:pPr>
              <w:pStyle w:val="9"/>
              <w:spacing w:before="22"/>
              <w:ind w:left="108"/>
              <w:rPr>
                <w:sz w:val="20"/>
              </w:rPr>
            </w:pPr>
            <w:r>
              <w:rPr>
                <w:sz w:val="20"/>
              </w:rPr>
              <w:t>生产日期等。实施批准文号管理的中药材和中药饮片，在包装上还应标明产品批准文号。</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47" w:type="dxa"/>
          </w:tcPr>
          <w:p>
            <w:pPr>
              <w:pStyle w:val="9"/>
              <w:spacing w:before="28"/>
              <w:ind w:left="102" w:right="94"/>
              <w:jc w:val="center"/>
              <w:rPr>
                <w:sz w:val="20"/>
              </w:rPr>
            </w:pPr>
            <w:r>
              <w:rPr>
                <w:sz w:val="20"/>
              </w:rPr>
              <w:t>35</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兽药经营企业应当保存采购兽药的有效凭证，建立真实、完整的采购记录，做到有效凭证、账、货相符。</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547" w:type="dxa"/>
          </w:tcPr>
          <w:p>
            <w:pPr>
              <w:pStyle w:val="9"/>
              <w:spacing w:before="11"/>
              <w:rPr>
                <w:rFonts w:ascii="Times New Roman"/>
                <w:sz w:val="15"/>
              </w:rPr>
            </w:pPr>
          </w:p>
          <w:p>
            <w:pPr>
              <w:pStyle w:val="9"/>
              <w:ind w:left="102" w:right="94"/>
              <w:jc w:val="center"/>
              <w:rPr>
                <w:sz w:val="20"/>
              </w:rPr>
            </w:pPr>
            <w:r>
              <w:rPr>
                <w:sz w:val="20"/>
              </w:rPr>
              <w:t>36</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采购记录应当载明兽药的通用名称、商品名称、批准文号、批号、剂型、规格、有效期、生产单位、供货单位、购入数量、购入日期、经手人或者</w:t>
            </w:r>
          </w:p>
          <w:p>
            <w:pPr>
              <w:pStyle w:val="9"/>
              <w:spacing w:before="56"/>
              <w:ind w:left="108"/>
              <w:rPr>
                <w:sz w:val="20"/>
              </w:rPr>
            </w:pPr>
            <w:r>
              <w:rPr>
                <w:sz w:val="20"/>
              </w:rPr>
              <w:t>负责入等内容。</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 w:hRule="atLeast"/>
        </w:trPr>
        <w:tc>
          <w:tcPr>
            <w:tcW w:w="547" w:type="dxa"/>
            <w:tcBorders>
              <w:bottom w:val="nil"/>
            </w:tcBorders>
          </w:tcPr>
          <w:p>
            <w:pPr>
              <w:pStyle w:val="9"/>
              <w:rPr>
                <w:rFonts w:ascii="Times New Roman"/>
                <w:sz w:val="18"/>
              </w:rPr>
            </w:pPr>
          </w:p>
        </w:tc>
        <w:tc>
          <w:tcPr>
            <w:tcW w:w="616" w:type="dxa"/>
            <w:vMerge w:val="continue"/>
            <w:tcBorders>
              <w:top w:val="nil"/>
            </w:tcBorders>
          </w:tcPr>
          <w:p>
            <w:pPr>
              <w:rPr>
                <w:sz w:val="2"/>
                <w:szCs w:val="2"/>
              </w:rPr>
            </w:pPr>
          </w:p>
        </w:tc>
        <w:tc>
          <w:tcPr>
            <w:tcW w:w="12920" w:type="dxa"/>
            <w:tcBorders>
              <w:bottom w:val="nil"/>
            </w:tcBorders>
          </w:tcPr>
          <w:p>
            <w:pPr>
              <w:pStyle w:val="9"/>
              <w:spacing w:before="27"/>
              <w:ind w:left="108"/>
              <w:rPr>
                <w:sz w:val="20"/>
              </w:rPr>
            </w:pPr>
            <w:r>
              <w:rPr>
                <w:sz w:val="20"/>
              </w:rPr>
              <w:t>兽药入库时，应当进行检查验收，并做好记录。有下列情形之一的兽药，不得入库：</w:t>
            </w:r>
          </w:p>
        </w:tc>
        <w:tc>
          <w:tcPr>
            <w:tcW w:w="537" w:type="dxa"/>
            <w:vMerge w:val="restart"/>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547" w:type="dxa"/>
            <w:tcBorders>
              <w:top w:val="nil"/>
              <w:bottom w:val="nil"/>
            </w:tcBorders>
          </w:tcPr>
          <w:p>
            <w:pPr>
              <w:pStyle w:val="9"/>
              <w:rPr>
                <w:rFonts w:ascii="Times New Roman"/>
                <w:sz w:val="18"/>
              </w:rPr>
            </w:pPr>
          </w:p>
        </w:tc>
        <w:tc>
          <w:tcPr>
            <w:tcW w:w="616" w:type="dxa"/>
            <w:vMerge w:val="continue"/>
            <w:tcBorders>
              <w:top w:val="nil"/>
            </w:tcBorders>
          </w:tcPr>
          <w:p>
            <w:pPr>
              <w:rPr>
                <w:sz w:val="2"/>
                <w:szCs w:val="2"/>
              </w:rPr>
            </w:pPr>
          </w:p>
        </w:tc>
        <w:tc>
          <w:tcPr>
            <w:tcW w:w="12920" w:type="dxa"/>
            <w:tcBorders>
              <w:top w:val="nil"/>
              <w:bottom w:val="nil"/>
            </w:tcBorders>
          </w:tcPr>
          <w:p>
            <w:pPr>
              <w:pStyle w:val="9"/>
              <w:spacing w:before="22"/>
              <w:ind w:left="108"/>
              <w:rPr>
                <w:sz w:val="20"/>
              </w:rPr>
            </w:pPr>
            <w:r>
              <w:rPr>
                <w:sz w:val="20"/>
              </w:rPr>
              <w:t>（一）与采购合同、发货单不符的。</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547" w:type="dxa"/>
            <w:tcBorders>
              <w:top w:val="nil"/>
              <w:bottom w:val="nil"/>
            </w:tcBorders>
          </w:tcPr>
          <w:p>
            <w:pPr>
              <w:pStyle w:val="9"/>
              <w:rPr>
                <w:rFonts w:ascii="Times New Roman"/>
                <w:sz w:val="18"/>
              </w:rPr>
            </w:pPr>
          </w:p>
        </w:tc>
        <w:tc>
          <w:tcPr>
            <w:tcW w:w="616" w:type="dxa"/>
            <w:vMerge w:val="continue"/>
            <w:tcBorders>
              <w:top w:val="nil"/>
            </w:tcBorders>
          </w:tcPr>
          <w:p>
            <w:pPr>
              <w:rPr>
                <w:sz w:val="2"/>
                <w:szCs w:val="2"/>
              </w:rPr>
            </w:pPr>
          </w:p>
        </w:tc>
        <w:tc>
          <w:tcPr>
            <w:tcW w:w="12920" w:type="dxa"/>
            <w:tcBorders>
              <w:top w:val="nil"/>
              <w:bottom w:val="nil"/>
            </w:tcBorders>
          </w:tcPr>
          <w:p>
            <w:pPr>
              <w:pStyle w:val="9"/>
              <w:spacing w:before="22"/>
              <w:ind w:left="108"/>
              <w:rPr>
                <w:sz w:val="20"/>
              </w:rPr>
            </w:pPr>
            <w:r>
              <w:rPr>
                <w:sz w:val="20"/>
              </w:rPr>
              <w:t>（二）内外包装破损可能影响产品质量的。</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547" w:type="dxa"/>
            <w:tcBorders>
              <w:top w:val="nil"/>
              <w:bottom w:val="nil"/>
            </w:tcBorders>
          </w:tcPr>
          <w:p>
            <w:pPr>
              <w:pStyle w:val="9"/>
              <w:spacing w:before="22"/>
              <w:ind w:left="102" w:right="94"/>
              <w:jc w:val="center"/>
              <w:rPr>
                <w:sz w:val="20"/>
              </w:rPr>
            </w:pPr>
            <w:r>
              <w:rPr>
                <w:sz w:val="20"/>
              </w:rPr>
              <w:t>37</w:t>
            </w:r>
          </w:p>
        </w:tc>
        <w:tc>
          <w:tcPr>
            <w:tcW w:w="616" w:type="dxa"/>
            <w:vMerge w:val="continue"/>
            <w:tcBorders>
              <w:top w:val="nil"/>
            </w:tcBorders>
          </w:tcPr>
          <w:p>
            <w:pPr>
              <w:rPr>
                <w:sz w:val="2"/>
                <w:szCs w:val="2"/>
              </w:rPr>
            </w:pPr>
          </w:p>
        </w:tc>
        <w:tc>
          <w:tcPr>
            <w:tcW w:w="12920" w:type="dxa"/>
            <w:tcBorders>
              <w:top w:val="nil"/>
              <w:bottom w:val="nil"/>
            </w:tcBorders>
          </w:tcPr>
          <w:p>
            <w:pPr>
              <w:pStyle w:val="9"/>
              <w:spacing w:before="22"/>
              <w:ind w:left="108"/>
              <w:rPr>
                <w:sz w:val="20"/>
              </w:rPr>
            </w:pPr>
            <w:r>
              <w:rPr>
                <w:sz w:val="20"/>
              </w:rPr>
              <w:t>（三）无产品标签、合格证、说明书，或者标签模糊不清的。</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547" w:type="dxa"/>
            <w:tcBorders>
              <w:top w:val="nil"/>
              <w:bottom w:val="nil"/>
            </w:tcBorders>
          </w:tcPr>
          <w:p>
            <w:pPr>
              <w:pStyle w:val="9"/>
              <w:rPr>
                <w:rFonts w:ascii="Times New Roman"/>
                <w:sz w:val="18"/>
              </w:rPr>
            </w:pPr>
          </w:p>
        </w:tc>
        <w:tc>
          <w:tcPr>
            <w:tcW w:w="616" w:type="dxa"/>
            <w:vMerge w:val="continue"/>
            <w:tcBorders>
              <w:top w:val="nil"/>
            </w:tcBorders>
          </w:tcPr>
          <w:p>
            <w:pPr>
              <w:rPr>
                <w:sz w:val="2"/>
                <w:szCs w:val="2"/>
              </w:rPr>
            </w:pPr>
          </w:p>
        </w:tc>
        <w:tc>
          <w:tcPr>
            <w:tcW w:w="12920" w:type="dxa"/>
            <w:tcBorders>
              <w:top w:val="nil"/>
              <w:bottom w:val="nil"/>
            </w:tcBorders>
          </w:tcPr>
          <w:p>
            <w:pPr>
              <w:pStyle w:val="9"/>
              <w:spacing w:before="22"/>
              <w:ind w:left="108"/>
              <w:rPr>
                <w:sz w:val="20"/>
              </w:rPr>
            </w:pPr>
            <w:r>
              <w:rPr>
                <w:sz w:val="20"/>
              </w:rPr>
              <w:t>（四）兽药 GMP 证号、兽药产品批准文号有效期过期的。</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547" w:type="dxa"/>
            <w:tcBorders>
              <w:top w:val="nil"/>
              <w:bottom w:val="nil"/>
            </w:tcBorders>
          </w:tcPr>
          <w:p>
            <w:pPr>
              <w:pStyle w:val="9"/>
              <w:rPr>
                <w:rFonts w:ascii="Times New Roman"/>
                <w:sz w:val="18"/>
              </w:rPr>
            </w:pPr>
          </w:p>
        </w:tc>
        <w:tc>
          <w:tcPr>
            <w:tcW w:w="616" w:type="dxa"/>
            <w:vMerge w:val="continue"/>
            <w:tcBorders>
              <w:top w:val="nil"/>
            </w:tcBorders>
          </w:tcPr>
          <w:p>
            <w:pPr>
              <w:rPr>
                <w:sz w:val="2"/>
                <w:szCs w:val="2"/>
              </w:rPr>
            </w:pPr>
          </w:p>
        </w:tc>
        <w:tc>
          <w:tcPr>
            <w:tcW w:w="12920" w:type="dxa"/>
            <w:tcBorders>
              <w:top w:val="nil"/>
              <w:bottom w:val="nil"/>
            </w:tcBorders>
          </w:tcPr>
          <w:p>
            <w:pPr>
              <w:pStyle w:val="9"/>
              <w:spacing w:before="22"/>
              <w:ind w:left="108"/>
              <w:rPr>
                <w:sz w:val="20"/>
              </w:rPr>
            </w:pPr>
            <w:r>
              <w:rPr>
                <w:sz w:val="20"/>
              </w:rPr>
              <w:t>（五）其它不符合法律法规和兽药经营质量管理规定的。</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547" w:type="dxa"/>
            <w:tcBorders>
              <w:top w:val="nil"/>
            </w:tcBorders>
          </w:tcPr>
          <w:p>
            <w:pPr>
              <w:pStyle w:val="9"/>
              <w:rPr>
                <w:rFonts w:ascii="Times New Roman"/>
                <w:sz w:val="18"/>
              </w:rPr>
            </w:pPr>
          </w:p>
        </w:tc>
        <w:tc>
          <w:tcPr>
            <w:tcW w:w="616" w:type="dxa"/>
            <w:vMerge w:val="continue"/>
            <w:tcBorders>
              <w:top w:val="nil"/>
            </w:tcBorders>
          </w:tcPr>
          <w:p>
            <w:pPr>
              <w:rPr>
                <w:sz w:val="2"/>
                <w:szCs w:val="2"/>
              </w:rPr>
            </w:pPr>
          </w:p>
        </w:tc>
        <w:tc>
          <w:tcPr>
            <w:tcW w:w="12920" w:type="dxa"/>
            <w:tcBorders>
              <w:top w:val="nil"/>
            </w:tcBorders>
          </w:tcPr>
          <w:p>
            <w:pPr>
              <w:pStyle w:val="9"/>
              <w:spacing w:before="22"/>
              <w:ind w:left="108"/>
              <w:rPr>
                <w:b/>
                <w:sz w:val="20"/>
              </w:rPr>
            </w:pPr>
            <w:r>
              <w:rPr>
                <w:b/>
                <w:color w:val="FF0000"/>
                <w:sz w:val="20"/>
              </w:rPr>
              <w:t>兽用生物制品入库，应当由两人以上进行检查验收。</w:t>
            </w:r>
          </w:p>
        </w:tc>
        <w:tc>
          <w:tcPr>
            <w:tcW w:w="5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17" w:hRule="atLeast"/>
        </w:trPr>
        <w:tc>
          <w:tcPr>
            <w:tcW w:w="547" w:type="dxa"/>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43"/>
              <w:ind w:left="102" w:right="94"/>
              <w:jc w:val="center"/>
              <w:rPr>
                <w:sz w:val="20"/>
              </w:rPr>
            </w:pPr>
            <w:r>
              <w:rPr>
                <w:sz w:val="20"/>
              </w:rPr>
              <w:t>38</w:t>
            </w:r>
          </w:p>
        </w:tc>
        <w:tc>
          <w:tcPr>
            <w:tcW w:w="616" w:type="dxa"/>
          </w:tcPr>
          <w:p>
            <w:pPr>
              <w:pStyle w:val="9"/>
              <w:rPr>
                <w:rFonts w:ascii="Times New Roman"/>
                <w:sz w:val="20"/>
              </w:rPr>
            </w:pPr>
          </w:p>
          <w:p>
            <w:pPr>
              <w:pStyle w:val="9"/>
              <w:spacing w:before="135" w:line="292" w:lineRule="auto"/>
              <w:ind w:left="107" w:right="97"/>
              <w:jc w:val="both"/>
              <w:rPr>
                <w:sz w:val="20"/>
              </w:rPr>
            </w:pPr>
            <w:r>
              <w:rPr>
                <w:sz w:val="20"/>
              </w:rPr>
              <w:t>五、陈列与储存</w:t>
            </w:r>
          </w:p>
        </w:tc>
        <w:tc>
          <w:tcPr>
            <w:tcW w:w="12920" w:type="dxa"/>
          </w:tcPr>
          <w:p>
            <w:pPr>
              <w:pStyle w:val="9"/>
              <w:spacing w:before="2"/>
              <w:rPr>
                <w:rFonts w:ascii="Times New Roman"/>
                <w:sz w:val="18"/>
              </w:rPr>
            </w:pPr>
          </w:p>
          <w:p>
            <w:pPr>
              <w:pStyle w:val="9"/>
              <w:spacing w:line="292" w:lineRule="auto"/>
              <w:ind w:left="108" w:right="96"/>
              <w:rPr>
                <w:b/>
                <w:sz w:val="20"/>
              </w:rPr>
            </w:pPr>
            <w:r>
              <w:rPr>
                <w:spacing w:val="-4"/>
                <w:w w:val="95"/>
                <w:sz w:val="20"/>
              </w:rPr>
              <w:t>陈列、储存兽药应当符合下列要求：</w:t>
            </w:r>
            <w:r>
              <w:rPr>
                <w:spacing w:val="-8"/>
                <w:w w:val="95"/>
                <w:sz w:val="20"/>
              </w:rPr>
              <w:t>（</w:t>
            </w:r>
            <w:r>
              <w:rPr>
                <w:w w:val="95"/>
                <w:sz w:val="20"/>
              </w:rPr>
              <w:t>一</w:t>
            </w:r>
            <w:r>
              <w:rPr>
                <w:spacing w:val="-7"/>
                <w:w w:val="95"/>
                <w:sz w:val="20"/>
              </w:rPr>
              <w:t>）按照品种、类别、用途以及温度、湿度等储存要求，分类、分区或者专库存放；</w:t>
            </w:r>
            <w:r>
              <w:rPr>
                <w:spacing w:val="-8"/>
                <w:w w:val="95"/>
                <w:sz w:val="20"/>
              </w:rPr>
              <w:t>（</w:t>
            </w:r>
            <w:r>
              <w:rPr>
                <w:w w:val="95"/>
                <w:sz w:val="20"/>
              </w:rPr>
              <w:t>二</w:t>
            </w:r>
            <w:r>
              <w:rPr>
                <w:spacing w:val="-7"/>
                <w:w w:val="95"/>
                <w:sz w:val="20"/>
              </w:rPr>
              <w:t>）</w:t>
            </w:r>
            <w:r>
              <w:rPr>
                <w:w w:val="95"/>
                <w:sz w:val="20"/>
              </w:rPr>
              <w:t xml:space="preserve">按照兽药外包装     </w:t>
            </w:r>
            <w:r>
              <w:rPr>
                <w:sz w:val="20"/>
              </w:rPr>
              <w:t>图示标志的要求搬运和存放；（三）与仓库地面、墙、顶等之间保持一定间距。其中，与墙、屋顶（房梁）</w:t>
            </w:r>
            <w:r>
              <w:rPr>
                <w:spacing w:val="-9"/>
                <w:sz w:val="20"/>
              </w:rPr>
              <w:t xml:space="preserve">的间距不小于 </w:t>
            </w:r>
            <w:r>
              <w:rPr>
                <w:sz w:val="20"/>
              </w:rPr>
              <w:t>30</w:t>
            </w:r>
            <w:r>
              <w:rPr>
                <w:spacing w:val="-16"/>
                <w:sz w:val="20"/>
              </w:rPr>
              <w:t xml:space="preserve"> 厘米，</w:t>
            </w:r>
            <w:r>
              <w:rPr>
                <w:b/>
                <w:color w:val="FF0000"/>
                <w:sz w:val="20"/>
              </w:rPr>
              <w:t>与库房散热器</w:t>
            </w:r>
          </w:p>
          <w:p>
            <w:pPr>
              <w:pStyle w:val="9"/>
              <w:spacing w:line="292" w:lineRule="auto"/>
              <w:ind w:left="108" w:right="96"/>
              <w:rPr>
                <w:sz w:val="20"/>
              </w:rPr>
            </w:pPr>
            <w:r>
              <w:rPr>
                <w:b/>
                <w:color w:val="FF0000"/>
                <w:spacing w:val="-5"/>
                <w:sz w:val="20"/>
              </w:rPr>
              <w:t xml:space="preserve">或供暖管道的间距不小于 </w:t>
            </w:r>
            <w:r>
              <w:rPr>
                <w:b/>
                <w:color w:val="FF0000"/>
                <w:sz w:val="20"/>
              </w:rPr>
              <w:t>30</w:t>
            </w:r>
            <w:r>
              <w:rPr>
                <w:b/>
                <w:color w:val="FF0000"/>
                <w:spacing w:val="-14"/>
                <w:sz w:val="20"/>
              </w:rPr>
              <w:t xml:space="preserve"> 厘米，</w:t>
            </w:r>
            <w:r>
              <w:rPr>
                <w:spacing w:val="-6"/>
                <w:sz w:val="20"/>
              </w:rPr>
              <w:t xml:space="preserve">与地面的间距不小于 </w:t>
            </w:r>
            <w:r>
              <w:rPr>
                <w:sz w:val="20"/>
              </w:rPr>
              <w:t>10</w:t>
            </w:r>
            <w:r>
              <w:rPr>
                <w:spacing w:val="-19"/>
                <w:sz w:val="20"/>
              </w:rPr>
              <w:t xml:space="preserve"> 厘米</w:t>
            </w:r>
            <w:r>
              <w:rPr>
                <w:sz w:val="20"/>
              </w:rPr>
              <w:t>；（四）</w:t>
            </w:r>
            <w:r>
              <w:rPr>
                <w:color w:val="FF0000"/>
                <w:sz w:val="20"/>
              </w:rPr>
              <w:t>内用</w:t>
            </w:r>
            <w:r>
              <w:rPr>
                <w:sz w:val="20"/>
              </w:rPr>
              <w:t>兽药与外用兽药分开存放，兽用处方药与非处方药分开存放；易串</w:t>
            </w:r>
            <w:r>
              <w:rPr>
                <w:spacing w:val="-4"/>
                <w:w w:val="95"/>
                <w:sz w:val="20"/>
              </w:rPr>
              <w:t>味兽药、危险药品等特殊兽药与其他兽药分库存放；</w:t>
            </w:r>
            <w:r>
              <w:rPr>
                <w:spacing w:val="-10"/>
                <w:w w:val="95"/>
                <w:sz w:val="20"/>
              </w:rPr>
              <w:t>（</w:t>
            </w:r>
            <w:r>
              <w:rPr>
                <w:w w:val="95"/>
                <w:sz w:val="20"/>
              </w:rPr>
              <w:t>五</w:t>
            </w:r>
            <w:r>
              <w:rPr>
                <w:spacing w:val="-10"/>
                <w:w w:val="95"/>
                <w:sz w:val="20"/>
              </w:rPr>
              <w:t>）</w:t>
            </w:r>
            <w:r>
              <w:rPr>
                <w:spacing w:val="-5"/>
                <w:w w:val="95"/>
                <w:sz w:val="20"/>
              </w:rPr>
              <w:t>待验兽药、合格兽药、不合格兽药、退货兽药分区存放；</w:t>
            </w:r>
            <w:r>
              <w:rPr>
                <w:spacing w:val="-9"/>
                <w:w w:val="95"/>
                <w:sz w:val="20"/>
              </w:rPr>
              <w:t>（</w:t>
            </w:r>
            <w:r>
              <w:rPr>
                <w:w w:val="95"/>
                <w:sz w:val="20"/>
              </w:rPr>
              <w:t>六</w:t>
            </w:r>
            <w:r>
              <w:rPr>
                <w:spacing w:val="-7"/>
                <w:w w:val="95"/>
                <w:sz w:val="20"/>
              </w:rPr>
              <w:t>）</w:t>
            </w:r>
            <w:r>
              <w:rPr>
                <w:w w:val="95"/>
                <w:sz w:val="20"/>
              </w:rPr>
              <w:t xml:space="preserve">同一企业的同一批号的     </w:t>
            </w:r>
            <w:r>
              <w:rPr>
                <w:sz w:val="20"/>
              </w:rPr>
              <w:t>产品集中存放。</w:t>
            </w:r>
          </w:p>
        </w:tc>
        <w:tc>
          <w:tcPr>
            <w:tcW w:w="537" w:type="dxa"/>
          </w:tcPr>
          <w:p>
            <w:pPr>
              <w:pStyle w:val="9"/>
              <w:rPr>
                <w:rFonts w:ascii="Times New Roman"/>
                <w:sz w:val="18"/>
              </w:rPr>
            </w:pPr>
          </w:p>
        </w:tc>
      </w:tr>
    </w:tbl>
    <w:p>
      <w:pPr>
        <w:spacing w:after="0"/>
        <w:rPr>
          <w:rFonts w:ascii="Times New Roman"/>
          <w:sz w:val="18"/>
        </w:rPr>
        <w:sectPr>
          <w:pgSz w:w="16840" w:h="11910" w:orient="landscape"/>
          <w:pgMar w:top="1100" w:right="660" w:bottom="1100" w:left="1320" w:header="0" w:footer="909" w:gutter="0"/>
          <w:cols w:space="720" w:num="1"/>
        </w:sectPr>
      </w:pPr>
    </w:p>
    <w:p>
      <w:pPr>
        <w:pStyle w:val="4"/>
        <w:rPr>
          <w:rFonts w:ascii="Times New Roman"/>
          <w:sz w:val="20"/>
        </w:rPr>
      </w:pPr>
    </w:p>
    <w:p>
      <w:pPr>
        <w:pStyle w:val="4"/>
        <w:rPr>
          <w:rFonts w:ascii="Times New Roman"/>
          <w:sz w:val="20"/>
        </w:rPr>
      </w:pPr>
    </w:p>
    <w:p>
      <w:pPr>
        <w:pStyle w:val="4"/>
        <w:spacing w:before="4"/>
        <w:rPr>
          <w:rFonts w:ascii="Times New Roman"/>
          <w:sz w:val="20"/>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616"/>
        <w:gridCol w:w="12920"/>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47" w:type="dxa"/>
          </w:tcPr>
          <w:p>
            <w:pPr>
              <w:pStyle w:val="9"/>
              <w:rPr>
                <w:rFonts w:ascii="Times New Roman"/>
                <w:sz w:val="16"/>
              </w:rPr>
            </w:pPr>
          </w:p>
          <w:p>
            <w:pPr>
              <w:pStyle w:val="9"/>
              <w:spacing w:before="1"/>
              <w:ind w:left="102" w:right="94"/>
              <w:jc w:val="center"/>
              <w:rPr>
                <w:sz w:val="20"/>
              </w:rPr>
            </w:pPr>
            <w:r>
              <w:rPr>
                <w:sz w:val="20"/>
              </w:rPr>
              <w:t>39</w:t>
            </w:r>
          </w:p>
        </w:tc>
        <w:tc>
          <w:tcPr>
            <w:tcW w:w="616" w:type="dxa"/>
            <w:vMerge w:val="restart"/>
          </w:tcPr>
          <w:p>
            <w:pPr>
              <w:pStyle w:val="9"/>
              <w:rPr>
                <w:rFonts w:ascii="Times New Roman"/>
                <w:sz w:val="18"/>
              </w:rPr>
            </w:pPr>
          </w:p>
        </w:tc>
        <w:tc>
          <w:tcPr>
            <w:tcW w:w="12920" w:type="dxa"/>
          </w:tcPr>
          <w:p>
            <w:pPr>
              <w:pStyle w:val="9"/>
              <w:spacing w:before="29"/>
              <w:ind w:left="108" w:right="-15"/>
              <w:rPr>
                <w:sz w:val="20"/>
              </w:rPr>
            </w:pPr>
            <w:r>
              <w:rPr>
                <w:spacing w:val="-11"/>
                <w:w w:val="95"/>
                <w:sz w:val="20"/>
              </w:rPr>
              <w:t>不同区域、不同类型的兽药应当具有明显的识别标识。标识应当放置准确、字迹清楚。待验和退货兽药以黄色字体标识；合格兽药以绿色字体标识；</w:t>
            </w:r>
          </w:p>
          <w:p>
            <w:pPr>
              <w:pStyle w:val="9"/>
              <w:spacing w:before="55"/>
              <w:ind w:left="108"/>
              <w:rPr>
                <w:sz w:val="20"/>
              </w:rPr>
            </w:pPr>
            <w:r>
              <w:rPr>
                <w:sz w:val="20"/>
              </w:rPr>
              <w:t>不合格兽药以红色字体标识。</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7" w:type="dxa"/>
          </w:tcPr>
          <w:p>
            <w:pPr>
              <w:pStyle w:val="9"/>
              <w:rPr>
                <w:rFonts w:ascii="Times New Roman"/>
                <w:sz w:val="16"/>
              </w:rPr>
            </w:pPr>
          </w:p>
          <w:p>
            <w:pPr>
              <w:pStyle w:val="9"/>
              <w:ind w:left="102" w:right="94"/>
              <w:jc w:val="center"/>
              <w:rPr>
                <w:sz w:val="20"/>
              </w:rPr>
            </w:pPr>
            <w:r>
              <w:rPr>
                <w:sz w:val="20"/>
              </w:rPr>
              <w:t>40</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对销后退回的兽药，凭销售部门开具的退货凭证收货，存放于退货药品库（区），由专人保管并做好退货记录。经验收合格的药品，由保管人员记</w:t>
            </w:r>
          </w:p>
          <w:p>
            <w:pPr>
              <w:pStyle w:val="9"/>
              <w:spacing w:before="56"/>
              <w:ind w:left="108"/>
              <w:rPr>
                <w:sz w:val="20"/>
              </w:rPr>
            </w:pPr>
            <w:r>
              <w:rPr>
                <w:sz w:val="20"/>
              </w:rPr>
              <w:t>录后方可存入合格药品库（区）；不合格兽药由保管人员记录后放入不合格药品库（区）。</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7" w:type="dxa"/>
          </w:tcPr>
          <w:p>
            <w:pPr>
              <w:pStyle w:val="9"/>
              <w:spacing w:before="28"/>
              <w:ind w:left="102" w:right="94"/>
              <w:jc w:val="center"/>
              <w:rPr>
                <w:sz w:val="20"/>
              </w:rPr>
            </w:pPr>
            <w:r>
              <w:rPr>
                <w:sz w:val="20"/>
              </w:rPr>
              <w:t>41</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不合格兽药应存放在不合格品库（区），并有明显标志。不合格兽药的确认、报告、报损、销毁应有完善的手续和记录。</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7" w:type="dxa"/>
          </w:tcPr>
          <w:p>
            <w:pPr>
              <w:pStyle w:val="9"/>
              <w:spacing w:before="11"/>
              <w:rPr>
                <w:rFonts w:ascii="Times New Roman"/>
                <w:sz w:val="15"/>
              </w:rPr>
            </w:pPr>
          </w:p>
          <w:p>
            <w:pPr>
              <w:pStyle w:val="9"/>
              <w:ind w:left="102" w:right="94"/>
              <w:jc w:val="center"/>
              <w:rPr>
                <w:sz w:val="20"/>
              </w:rPr>
            </w:pPr>
            <w:r>
              <w:rPr>
                <w:sz w:val="20"/>
              </w:rPr>
              <w:t>42</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兽药经营企业应定期对兽药及其陈列、储存的条件和设施、设备的运行状态进行检查，对储存中发现的有质量疑问的兽药，不得摆上柜台销售，应</w:t>
            </w:r>
          </w:p>
          <w:p>
            <w:pPr>
              <w:pStyle w:val="9"/>
              <w:spacing w:before="56"/>
              <w:ind w:left="108"/>
              <w:rPr>
                <w:sz w:val="20"/>
              </w:rPr>
            </w:pPr>
            <w:r>
              <w:rPr>
                <w:sz w:val="20"/>
              </w:rPr>
              <w:t>及时通知质量管理机构或质量管理人员进行处理，并做好记录。</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47" w:type="dxa"/>
          </w:tcPr>
          <w:p>
            <w:pPr>
              <w:pStyle w:val="9"/>
              <w:spacing w:before="27"/>
              <w:ind w:left="102" w:right="94"/>
              <w:jc w:val="center"/>
              <w:rPr>
                <w:sz w:val="20"/>
              </w:rPr>
            </w:pPr>
            <w:r>
              <w:rPr>
                <w:sz w:val="20"/>
              </w:rPr>
              <w:t>43</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兽药经营企业每日应当定时对库房温、湿度进行记录。如库房温、湿度超出规定范围，应及时采取调控措施，并予以记录。</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7" w:type="dxa"/>
          </w:tcPr>
          <w:p>
            <w:pPr>
              <w:pStyle w:val="9"/>
              <w:spacing w:before="29"/>
              <w:ind w:left="102" w:right="94"/>
              <w:jc w:val="center"/>
              <w:rPr>
                <w:sz w:val="20"/>
              </w:rPr>
            </w:pPr>
            <w:r>
              <w:rPr>
                <w:sz w:val="20"/>
              </w:rPr>
              <w:t>*44</w:t>
            </w:r>
          </w:p>
        </w:tc>
        <w:tc>
          <w:tcPr>
            <w:tcW w:w="616" w:type="dxa"/>
            <w:vMerge w:val="continue"/>
            <w:tcBorders>
              <w:top w:val="nil"/>
            </w:tcBorders>
          </w:tcPr>
          <w:p>
            <w:pPr>
              <w:rPr>
                <w:sz w:val="2"/>
                <w:szCs w:val="2"/>
              </w:rPr>
            </w:pPr>
          </w:p>
        </w:tc>
        <w:tc>
          <w:tcPr>
            <w:tcW w:w="12920" w:type="dxa"/>
          </w:tcPr>
          <w:p>
            <w:pPr>
              <w:pStyle w:val="9"/>
              <w:spacing w:before="29"/>
              <w:ind w:left="108"/>
              <w:rPr>
                <w:sz w:val="20"/>
              </w:rPr>
            </w:pPr>
            <w:r>
              <w:rPr>
                <w:sz w:val="20"/>
              </w:rPr>
              <w:t>兽药经营企业应当及时清查兽医行政管理部门公布的假劣兽药，并做好记录。</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7" w:type="dxa"/>
          </w:tcPr>
          <w:p>
            <w:pPr>
              <w:pStyle w:val="9"/>
              <w:spacing w:before="28"/>
              <w:ind w:left="102" w:right="94"/>
              <w:jc w:val="center"/>
              <w:rPr>
                <w:sz w:val="20"/>
              </w:rPr>
            </w:pPr>
            <w:r>
              <w:rPr>
                <w:sz w:val="20"/>
              </w:rPr>
              <w:t>45</w:t>
            </w:r>
          </w:p>
        </w:tc>
        <w:tc>
          <w:tcPr>
            <w:tcW w:w="616" w:type="dxa"/>
            <w:vMerge w:val="restart"/>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0"/>
              <w:rPr>
                <w:rFonts w:ascii="Times New Roman"/>
                <w:sz w:val="20"/>
              </w:rPr>
            </w:pPr>
          </w:p>
          <w:p>
            <w:pPr>
              <w:pStyle w:val="9"/>
              <w:spacing w:line="292" w:lineRule="auto"/>
              <w:ind w:left="107" w:right="97"/>
              <w:jc w:val="both"/>
              <w:rPr>
                <w:sz w:val="20"/>
              </w:rPr>
            </w:pPr>
            <w:r>
              <w:rPr>
                <w:sz w:val="20"/>
              </w:rPr>
              <w:t>六、销售与运输</w:t>
            </w:r>
          </w:p>
        </w:tc>
        <w:tc>
          <w:tcPr>
            <w:tcW w:w="12920" w:type="dxa"/>
          </w:tcPr>
          <w:p>
            <w:pPr>
              <w:pStyle w:val="9"/>
              <w:spacing w:before="28"/>
              <w:ind w:left="108"/>
              <w:rPr>
                <w:sz w:val="20"/>
              </w:rPr>
            </w:pPr>
            <w:r>
              <w:rPr>
                <w:sz w:val="20"/>
              </w:rPr>
              <w:t>兽药经营企业在营业时间内，应有质量管理人员在岗，并佩戴胸卡。</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547" w:type="dxa"/>
          </w:tcPr>
          <w:p>
            <w:pPr>
              <w:pStyle w:val="9"/>
              <w:spacing w:before="105"/>
              <w:ind w:left="102" w:right="94"/>
              <w:jc w:val="center"/>
              <w:rPr>
                <w:sz w:val="20"/>
              </w:rPr>
            </w:pPr>
            <w:r>
              <w:rPr>
                <w:sz w:val="20"/>
              </w:rPr>
              <w:t>46</w:t>
            </w:r>
          </w:p>
        </w:tc>
        <w:tc>
          <w:tcPr>
            <w:tcW w:w="616" w:type="dxa"/>
            <w:vMerge w:val="continue"/>
            <w:tcBorders>
              <w:top w:val="nil"/>
            </w:tcBorders>
          </w:tcPr>
          <w:p>
            <w:pPr>
              <w:rPr>
                <w:sz w:val="2"/>
                <w:szCs w:val="2"/>
              </w:rPr>
            </w:pPr>
          </w:p>
        </w:tc>
        <w:tc>
          <w:tcPr>
            <w:tcW w:w="12920" w:type="dxa"/>
          </w:tcPr>
          <w:p>
            <w:pPr>
              <w:pStyle w:val="9"/>
              <w:spacing w:before="105"/>
              <w:ind w:left="108"/>
              <w:rPr>
                <w:b/>
                <w:sz w:val="20"/>
              </w:rPr>
            </w:pPr>
            <w:r>
              <w:rPr>
                <w:sz w:val="20"/>
              </w:rPr>
              <w:t>兽药经营企业销售兽药，应当遵循先产先出和按批号出库的原则。</w:t>
            </w:r>
            <w:r>
              <w:rPr>
                <w:b/>
                <w:color w:val="FF0000"/>
                <w:sz w:val="20"/>
              </w:rPr>
              <w:t>相同批号的兽药，先入先出，合箱产品优先销售。</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47" w:type="dxa"/>
          </w:tcPr>
          <w:p>
            <w:pPr>
              <w:pStyle w:val="9"/>
              <w:rPr>
                <w:rFonts w:ascii="Times New Roman"/>
                <w:sz w:val="16"/>
              </w:rPr>
            </w:pPr>
          </w:p>
          <w:p>
            <w:pPr>
              <w:pStyle w:val="9"/>
              <w:ind w:left="102" w:right="94"/>
              <w:jc w:val="center"/>
              <w:rPr>
                <w:sz w:val="20"/>
              </w:rPr>
            </w:pPr>
            <w:r>
              <w:rPr>
                <w:sz w:val="20"/>
              </w:rPr>
              <w:t>47</w:t>
            </w:r>
          </w:p>
        </w:tc>
        <w:tc>
          <w:tcPr>
            <w:tcW w:w="616" w:type="dxa"/>
            <w:vMerge w:val="continue"/>
            <w:tcBorders>
              <w:top w:val="nil"/>
            </w:tcBorders>
          </w:tcPr>
          <w:p>
            <w:pPr>
              <w:rPr>
                <w:sz w:val="2"/>
                <w:szCs w:val="2"/>
              </w:rPr>
            </w:pPr>
          </w:p>
        </w:tc>
        <w:tc>
          <w:tcPr>
            <w:tcW w:w="12920" w:type="dxa"/>
          </w:tcPr>
          <w:p>
            <w:pPr>
              <w:pStyle w:val="9"/>
              <w:spacing w:before="28"/>
              <w:ind w:left="108" w:right="-15"/>
              <w:rPr>
                <w:sz w:val="20"/>
              </w:rPr>
            </w:pPr>
            <w:r>
              <w:rPr>
                <w:spacing w:val="-14"/>
                <w:w w:val="95"/>
                <w:sz w:val="20"/>
              </w:rPr>
              <w:t>兽药出库时，应当进行检查、核对，建立出库记录。兽药出库记录应当包括兽药通用名称、商品名称、批号、剂型、规格、生产厂商、数量、日期、</w:t>
            </w:r>
          </w:p>
          <w:p>
            <w:pPr>
              <w:pStyle w:val="9"/>
              <w:spacing w:before="56"/>
              <w:ind w:left="108"/>
              <w:rPr>
                <w:sz w:val="20"/>
              </w:rPr>
            </w:pPr>
            <w:r>
              <w:rPr>
                <w:sz w:val="20"/>
              </w:rPr>
              <w:t>经手人或者负责人等内容。</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trPr>
        <w:tc>
          <w:tcPr>
            <w:tcW w:w="547" w:type="dxa"/>
          </w:tcPr>
          <w:p>
            <w:pPr>
              <w:pStyle w:val="9"/>
              <w:rPr>
                <w:rFonts w:ascii="Times New Roman"/>
                <w:sz w:val="20"/>
              </w:rPr>
            </w:pPr>
          </w:p>
          <w:p>
            <w:pPr>
              <w:pStyle w:val="9"/>
              <w:rPr>
                <w:rFonts w:ascii="Times New Roman"/>
                <w:sz w:val="20"/>
              </w:rPr>
            </w:pPr>
          </w:p>
          <w:p>
            <w:pPr>
              <w:pStyle w:val="9"/>
              <w:spacing w:before="8"/>
              <w:rPr>
                <w:rFonts w:ascii="Times New Roman"/>
                <w:sz w:val="16"/>
              </w:rPr>
            </w:pPr>
          </w:p>
          <w:p>
            <w:pPr>
              <w:pStyle w:val="9"/>
              <w:ind w:left="102" w:right="94"/>
              <w:jc w:val="center"/>
              <w:rPr>
                <w:sz w:val="20"/>
              </w:rPr>
            </w:pPr>
            <w:r>
              <w:rPr>
                <w:sz w:val="20"/>
              </w:rPr>
              <w:t>48</w:t>
            </w:r>
          </w:p>
        </w:tc>
        <w:tc>
          <w:tcPr>
            <w:tcW w:w="616" w:type="dxa"/>
            <w:vMerge w:val="continue"/>
            <w:tcBorders>
              <w:top w:val="nil"/>
            </w:tcBorders>
          </w:tcPr>
          <w:p>
            <w:pPr>
              <w:rPr>
                <w:sz w:val="2"/>
                <w:szCs w:val="2"/>
              </w:rPr>
            </w:pPr>
          </w:p>
        </w:tc>
        <w:tc>
          <w:tcPr>
            <w:tcW w:w="12920" w:type="dxa"/>
          </w:tcPr>
          <w:p>
            <w:pPr>
              <w:pStyle w:val="9"/>
              <w:spacing w:before="28"/>
              <w:ind w:left="108"/>
              <w:rPr>
                <w:sz w:val="20"/>
              </w:rPr>
            </w:pPr>
            <w:r>
              <w:rPr>
                <w:sz w:val="20"/>
              </w:rPr>
              <w:t>有下列情形之一的兽药，不得出库销售：</w:t>
            </w:r>
          </w:p>
          <w:p>
            <w:pPr>
              <w:pStyle w:val="9"/>
              <w:spacing w:before="56"/>
              <w:ind w:left="108"/>
              <w:rPr>
                <w:sz w:val="20"/>
              </w:rPr>
            </w:pPr>
            <w:r>
              <w:rPr>
                <w:sz w:val="20"/>
              </w:rPr>
              <w:t>（一）标识模糊不清或者脱落的；</w:t>
            </w:r>
          </w:p>
          <w:p>
            <w:pPr>
              <w:pStyle w:val="9"/>
              <w:spacing w:before="55"/>
              <w:ind w:left="108"/>
              <w:rPr>
                <w:sz w:val="20"/>
              </w:rPr>
            </w:pPr>
            <w:r>
              <w:rPr>
                <w:sz w:val="20"/>
              </w:rPr>
              <w:t>（二）外包装出现破损、封口不牢、封条严重损坏的；</w:t>
            </w:r>
          </w:p>
          <w:p>
            <w:pPr>
              <w:pStyle w:val="9"/>
              <w:spacing w:before="56"/>
              <w:ind w:left="108"/>
              <w:rPr>
                <w:sz w:val="20"/>
              </w:rPr>
            </w:pPr>
            <w:r>
              <w:rPr>
                <w:sz w:val="20"/>
              </w:rPr>
              <w:t>（三）超出有效期限的；</w:t>
            </w:r>
          </w:p>
          <w:p>
            <w:pPr>
              <w:pStyle w:val="9"/>
              <w:spacing w:before="56"/>
              <w:ind w:left="108"/>
              <w:rPr>
                <w:sz w:val="20"/>
              </w:rPr>
            </w:pPr>
            <w:r>
              <w:rPr>
                <w:sz w:val="20"/>
              </w:rPr>
              <w:t>（四）其他不符合规定的。</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47" w:type="dxa"/>
          </w:tcPr>
          <w:p>
            <w:pPr>
              <w:pStyle w:val="9"/>
              <w:spacing w:before="11"/>
              <w:rPr>
                <w:rFonts w:ascii="Times New Roman"/>
                <w:sz w:val="15"/>
              </w:rPr>
            </w:pPr>
          </w:p>
          <w:p>
            <w:pPr>
              <w:pStyle w:val="9"/>
              <w:ind w:left="102" w:right="94"/>
              <w:jc w:val="center"/>
              <w:rPr>
                <w:sz w:val="20"/>
              </w:rPr>
            </w:pPr>
            <w:r>
              <w:rPr>
                <w:sz w:val="20"/>
              </w:rPr>
              <w:t>49</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兽药经营企业应当建立销售记录。销售记录应当载明兽药通用名称、商品名称、批准文号、批号、有效期、剂型、规格、生产厂商、购货单位、销</w:t>
            </w:r>
          </w:p>
          <w:p>
            <w:pPr>
              <w:pStyle w:val="9"/>
              <w:spacing w:before="56"/>
              <w:ind w:left="108"/>
              <w:rPr>
                <w:sz w:val="20"/>
              </w:rPr>
            </w:pPr>
            <w:r>
              <w:rPr>
                <w:sz w:val="20"/>
              </w:rPr>
              <w:t>售数量、销售日期、经手人或者负责人等内容。</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7" w:type="dxa"/>
          </w:tcPr>
          <w:p>
            <w:pPr>
              <w:pStyle w:val="9"/>
              <w:spacing w:before="27"/>
              <w:ind w:left="102" w:right="94"/>
              <w:jc w:val="center"/>
              <w:rPr>
                <w:sz w:val="20"/>
              </w:rPr>
            </w:pPr>
            <w:r>
              <w:rPr>
                <w:sz w:val="20"/>
              </w:rPr>
              <w:t>50</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兽药经营企业销售兽药，应当开具有效凭证，做到有效凭证、账、货、记录相符，销售票据交购买者保存。</w:t>
            </w:r>
          </w:p>
        </w:tc>
        <w:tc>
          <w:tcPr>
            <w:tcW w:w="537"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3" w:hRule="atLeast"/>
        </w:trPr>
        <w:tc>
          <w:tcPr>
            <w:tcW w:w="547" w:type="dxa"/>
          </w:tcPr>
          <w:p>
            <w:pPr>
              <w:pStyle w:val="9"/>
              <w:spacing w:before="5"/>
              <w:rPr>
                <w:rFonts w:ascii="Times New Roman"/>
                <w:sz w:val="29"/>
              </w:rPr>
            </w:pPr>
          </w:p>
          <w:p>
            <w:pPr>
              <w:pStyle w:val="9"/>
              <w:ind w:left="102" w:right="94"/>
              <w:jc w:val="center"/>
              <w:rPr>
                <w:sz w:val="20"/>
              </w:rPr>
            </w:pPr>
            <w:r>
              <w:rPr>
                <w:sz w:val="20"/>
              </w:rPr>
              <w:t>51</w:t>
            </w:r>
          </w:p>
        </w:tc>
        <w:tc>
          <w:tcPr>
            <w:tcW w:w="616" w:type="dxa"/>
            <w:vMerge w:val="continue"/>
            <w:tcBorders>
              <w:top w:val="nil"/>
            </w:tcBorders>
          </w:tcPr>
          <w:p>
            <w:pPr>
              <w:rPr>
                <w:sz w:val="2"/>
                <w:szCs w:val="2"/>
              </w:rPr>
            </w:pPr>
          </w:p>
        </w:tc>
        <w:tc>
          <w:tcPr>
            <w:tcW w:w="12920" w:type="dxa"/>
          </w:tcPr>
          <w:p>
            <w:pPr>
              <w:pStyle w:val="9"/>
              <w:spacing w:before="27"/>
              <w:ind w:left="108" w:right="-15"/>
              <w:rPr>
                <w:sz w:val="20"/>
              </w:rPr>
            </w:pPr>
            <w:r>
              <w:rPr>
                <w:spacing w:val="-10"/>
                <w:sz w:val="20"/>
              </w:rPr>
              <w:t>兽药经营企业销售兽用处方兽药的，应遵守兽用处方药管理规定，凭执业兽医师或者农业部、省畜牧兽医管理部门认可的同等资质人员开具的处方，</w:t>
            </w:r>
          </w:p>
          <w:p>
            <w:pPr>
              <w:pStyle w:val="9"/>
              <w:spacing w:before="2" w:line="310" w:lineRule="atLeast"/>
              <w:ind w:left="108" w:right="86"/>
              <w:rPr>
                <w:b/>
                <w:sz w:val="20"/>
              </w:rPr>
            </w:pPr>
            <w:r>
              <w:rPr>
                <w:sz w:val="20"/>
              </w:rPr>
              <w:t>严格按照兽药产品的用法、用量核对无误后发放。兽药经营企业对执业兽医开具的处方所列兽药不得擅自更改。</w:t>
            </w:r>
            <w:r>
              <w:rPr>
                <w:b/>
                <w:color w:val="FF0000"/>
                <w:sz w:val="20"/>
              </w:rPr>
              <w:t>兽用处方药不得采用开架自选的销售方式。</w:t>
            </w:r>
          </w:p>
        </w:tc>
        <w:tc>
          <w:tcPr>
            <w:tcW w:w="537" w:type="dxa"/>
          </w:tcPr>
          <w:p>
            <w:pPr>
              <w:pStyle w:val="9"/>
              <w:rPr>
                <w:rFonts w:ascii="Times New Roman"/>
                <w:sz w:val="18"/>
              </w:rPr>
            </w:pPr>
          </w:p>
        </w:tc>
      </w:tr>
    </w:tbl>
    <w:p>
      <w:pPr>
        <w:spacing w:after="0"/>
        <w:rPr>
          <w:rFonts w:ascii="Times New Roman"/>
          <w:sz w:val="18"/>
        </w:rPr>
        <w:sectPr>
          <w:pgSz w:w="16840" w:h="11910" w:orient="landscape"/>
          <w:pgMar w:top="1100" w:right="660" w:bottom="1100" w:left="1320" w:header="0" w:footer="909" w:gutter="0"/>
          <w:cols w:space="720" w:num="1"/>
        </w:sectPr>
      </w:pPr>
    </w:p>
    <w:p>
      <w:pPr>
        <w:pStyle w:val="4"/>
        <w:rPr>
          <w:rFonts w:ascii="Times New Roman"/>
          <w:sz w:val="20"/>
        </w:rPr>
      </w:pPr>
    </w:p>
    <w:p>
      <w:pPr>
        <w:pStyle w:val="4"/>
        <w:rPr>
          <w:rFonts w:ascii="Times New Roman"/>
          <w:sz w:val="20"/>
        </w:rPr>
      </w:pPr>
    </w:p>
    <w:p>
      <w:pPr>
        <w:pStyle w:val="4"/>
        <w:spacing w:before="4"/>
        <w:rPr>
          <w:rFonts w:ascii="Times New Roman"/>
          <w:sz w:val="20"/>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616"/>
        <w:gridCol w:w="12920"/>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trPr>
        <w:tc>
          <w:tcPr>
            <w:tcW w:w="547" w:type="dxa"/>
          </w:tcPr>
          <w:p>
            <w:pPr>
              <w:pStyle w:val="9"/>
              <w:spacing w:before="5"/>
              <w:rPr>
                <w:rFonts w:ascii="Times New Roman"/>
                <w:sz w:val="21"/>
              </w:rPr>
            </w:pPr>
          </w:p>
          <w:p>
            <w:pPr>
              <w:pStyle w:val="9"/>
              <w:ind w:left="102" w:right="94"/>
              <w:jc w:val="center"/>
              <w:rPr>
                <w:sz w:val="20"/>
              </w:rPr>
            </w:pPr>
            <w:r>
              <w:rPr>
                <w:sz w:val="20"/>
              </w:rPr>
              <w:t>52</w:t>
            </w:r>
          </w:p>
        </w:tc>
        <w:tc>
          <w:tcPr>
            <w:tcW w:w="616" w:type="dxa"/>
            <w:vMerge w:val="restart"/>
          </w:tcPr>
          <w:p>
            <w:pPr>
              <w:pStyle w:val="9"/>
              <w:rPr>
                <w:rFonts w:ascii="Times New Roman"/>
                <w:sz w:val="20"/>
              </w:rPr>
            </w:pPr>
          </w:p>
        </w:tc>
        <w:tc>
          <w:tcPr>
            <w:tcW w:w="12920" w:type="dxa"/>
          </w:tcPr>
          <w:p>
            <w:pPr>
              <w:pStyle w:val="9"/>
              <w:spacing w:before="91" w:line="292" w:lineRule="auto"/>
              <w:ind w:left="108" w:right="-29"/>
              <w:rPr>
                <w:b/>
                <w:sz w:val="20"/>
              </w:rPr>
            </w:pPr>
            <w:r>
              <w:rPr>
                <w:spacing w:val="-3"/>
                <w:sz w:val="20"/>
              </w:rPr>
              <w:t>兽药经营企业销售兽用中药材、中药饮片的，应当注明产地。</w:t>
            </w:r>
            <w:r>
              <w:rPr>
                <w:b/>
                <w:color w:val="FF0000"/>
                <w:spacing w:val="-2"/>
                <w:sz w:val="20"/>
              </w:rPr>
              <w:t>取得资格的兽药经营企业，销售兽用麻醉药品、精神药品、毒性药品、放射性药品、易制毒化学药品和兽用生物制品等具有特定管理要求的兽药，应当符合国家相关管理规定，并经质量管理人员核查，签字后方可销售。</w:t>
            </w:r>
          </w:p>
        </w:tc>
        <w:tc>
          <w:tcPr>
            <w:tcW w:w="5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7" w:type="dxa"/>
          </w:tcPr>
          <w:p>
            <w:pPr>
              <w:pStyle w:val="9"/>
              <w:spacing w:before="10"/>
              <w:rPr>
                <w:rFonts w:ascii="Times New Roman"/>
                <w:sz w:val="15"/>
              </w:rPr>
            </w:pPr>
          </w:p>
          <w:p>
            <w:pPr>
              <w:pStyle w:val="9"/>
              <w:ind w:left="102" w:right="94"/>
              <w:jc w:val="center"/>
              <w:rPr>
                <w:sz w:val="20"/>
              </w:rPr>
            </w:pPr>
            <w:r>
              <w:rPr>
                <w:sz w:val="20"/>
              </w:rPr>
              <w:t>53</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批发销售兽药给其他兽药经营企业时，应使用兽药生产企业原包装，不得拆箱（桶）销售。兽药拆零销售时，不得拆开最小销售单元，并应附具该</w:t>
            </w:r>
          </w:p>
          <w:p>
            <w:pPr>
              <w:pStyle w:val="9"/>
              <w:spacing w:before="56"/>
              <w:ind w:left="108"/>
              <w:rPr>
                <w:sz w:val="20"/>
              </w:rPr>
            </w:pPr>
            <w:r>
              <w:rPr>
                <w:sz w:val="20"/>
              </w:rPr>
              <w:t>兽药产品的标签、说明书复印件。</w:t>
            </w:r>
          </w:p>
        </w:tc>
        <w:tc>
          <w:tcPr>
            <w:tcW w:w="5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47" w:type="dxa"/>
          </w:tcPr>
          <w:p>
            <w:pPr>
              <w:pStyle w:val="9"/>
              <w:spacing w:before="43"/>
              <w:ind w:left="102" w:right="94"/>
              <w:jc w:val="center"/>
              <w:rPr>
                <w:sz w:val="20"/>
              </w:rPr>
            </w:pPr>
            <w:r>
              <w:rPr>
                <w:sz w:val="20"/>
              </w:rPr>
              <w:t>54</w:t>
            </w:r>
          </w:p>
        </w:tc>
        <w:tc>
          <w:tcPr>
            <w:tcW w:w="616" w:type="dxa"/>
            <w:vMerge w:val="continue"/>
            <w:tcBorders>
              <w:top w:val="nil"/>
            </w:tcBorders>
          </w:tcPr>
          <w:p>
            <w:pPr>
              <w:rPr>
                <w:sz w:val="2"/>
                <w:szCs w:val="2"/>
              </w:rPr>
            </w:pPr>
          </w:p>
        </w:tc>
        <w:tc>
          <w:tcPr>
            <w:tcW w:w="12920" w:type="dxa"/>
          </w:tcPr>
          <w:p>
            <w:pPr>
              <w:pStyle w:val="9"/>
              <w:spacing w:before="60"/>
              <w:ind w:left="108"/>
              <w:rPr>
                <w:sz w:val="20"/>
              </w:rPr>
            </w:pPr>
            <w:r>
              <w:rPr>
                <w:w w:val="95"/>
                <w:sz w:val="20"/>
              </w:rPr>
              <w:t>兽药经营企业应当按照兽药外包装图示标志的要求运输兽药。有温度控制要求的兽药，在运输时应当采取必要的温度控制措施，并建立详细记录。</w:t>
            </w:r>
          </w:p>
        </w:tc>
        <w:tc>
          <w:tcPr>
            <w:tcW w:w="5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7" w:type="dxa"/>
          </w:tcPr>
          <w:p>
            <w:pPr>
              <w:pStyle w:val="9"/>
              <w:spacing w:before="27"/>
              <w:ind w:left="102" w:right="94"/>
              <w:jc w:val="center"/>
              <w:rPr>
                <w:sz w:val="20"/>
              </w:rPr>
            </w:pPr>
            <w:r>
              <w:rPr>
                <w:sz w:val="20"/>
              </w:rPr>
              <w:t>55</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兽用生物制品在运输过程中，应当采取冷藏、保温等有效的温度控制措施，并建立详细记录。</w:t>
            </w:r>
          </w:p>
        </w:tc>
        <w:tc>
          <w:tcPr>
            <w:tcW w:w="5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7" w:type="dxa"/>
          </w:tcPr>
          <w:p>
            <w:pPr>
              <w:pStyle w:val="9"/>
              <w:spacing w:before="29"/>
              <w:ind w:left="102" w:right="94"/>
              <w:jc w:val="center"/>
              <w:rPr>
                <w:sz w:val="20"/>
              </w:rPr>
            </w:pPr>
            <w:r>
              <w:rPr>
                <w:sz w:val="20"/>
              </w:rPr>
              <w:t>56</w:t>
            </w:r>
          </w:p>
        </w:tc>
        <w:tc>
          <w:tcPr>
            <w:tcW w:w="616" w:type="dxa"/>
            <w:vMerge w:val="restart"/>
          </w:tcPr>
          <w:p>
            <w:pPr>
              <w:pStyle w:val="9"/>
              <w:rPr>
                <w:rFonts w:ascii="Times New Roman"/>
                <w:sz w:val="20"/>
              </w:rPr>
            </w:pPr>
          </w:p>
          <w:p>
            <w:pPr>
              <w:pStyle w:val="9"/>
              <w:rPr>
                <w:rFonts w:ascii="Times New Roman"/>
                <w:sz w:val="20"/>
              </w:rPr>
            </w:pPr>
          </w:p>
          <w:p>
            <w:pPr>
              <w:pStyle w:val="9"/>
              <w:spacing w:before="116" w:line="292" w:lineRule="auto"/>
              <w:ind w:left="107" w:right="97"/>
              <w:jc w:val="both"/>
              <w:rPr>
                <w:sz w:val="20"/>
              </w:rPr>
            </w:pPr>
            <w:r>
              <w:rPr>
                <w:sz w:val="20"/>
              </w:rPr>
              <w:t>七、售后服务</w:t>
            </w:r>
          </w:p>
        </w:tc>
        <w:tc>
          <w:tcPr>
            <w:tcW w:w="12920" w:type="dxa"/>
          </w:tcPr>
          <w:p>
            <w:pPr>
              <w:pStyle w:val="9"/>
              <w:spacing w:before="29"/>
              <w:ind w:left="108"/>
              <w:rPr>
                <w:sz w:val="20"/>
              </w:rPr>
            </w:pPr>
            <w:r>
              <w:rPr>
                <w:sz w:val="20"/>
              </w:rPr>
              <w:t>兽药经营企业应当按照兽医行政管理部门批准的兽药标签、说明书及其他规定进行宣传，不得误导购买者。</w:t>
            </w:r>
          </w:p>
        </w:tc>
        <w:tc>
          <w:tcPr>
            <w:tcW w:w="5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5" w:hRule="atLeast"/>
        </w:trPr>
        <w:tc>
          <w:tcPr>
            <w:tcW w:w="547" w:type="dxa"/>
          </w:tcPr>
          <w:p>
            <w:pPr>
              <w:pStyle w:val="9"/>
              <w:spacing w:before="88"/>
              <w:ind w:left="102" w:right="94"/>
              <w:jc w:val="center"/>
              <w:rPr>
                <w:sz w:val="20"/>
              </w:rPr>
            </w:pPr>
            <w:r>
              <w:rPr>
                <w:sz w:val="20"/>
              </w:rPr>
              <w:t>57</w:t>
            </w:r>
          </w:p>
        </w:tc>
        <w:tc>
          <w:tcPr>
            <w:tcW w:w="616" w:type="dxa"/>
            <w:vMerge w:val="continue"/>
            <w:tcBorders>
              <w:top w:val="nil"/>
            </w:tcBorders>
          </w:tcPr>
          <w:p>
            <w:pPr>
              <w:rPr>
                <w:sz w:val="2"/>
                <w:szCs w:val="2"/>
              </w:rPr>
            </w:pPr>
          </w:p>
        </w:tc>
        <w:tc>
          <w:tcPr>
            <w:tcW w:w="12920" w:type="dxa"/>
          </w:tcPr>
          <w:p>
            <w:pPr>
              <w:pStyle w:val="9"/>
              <w:spacing w:before="88"/>
              <w:ind w:left="108" w:right="-15"/>
              <w:rPr>
                <w:sz w:val="20"/>
              </w:rPr>
            </w:pPr>
            <w:r>
              <w:rPr>
                <w:spacing w:val="-8"/>
                <w:w w:val="95"/>
                <w:sz w:val="20"/>
              </w:rPr>
              <w:t>在营业场所内张贴的兽药广告宣传单、画报等资料应符合国家有关规定。不应张贴、发布未依法取得兽药广告审查批准文号的兽药产品的公示宣传。</w:t>
            </w:r>
          </w:p>
        </w:tc>
        <w:tc>
          <w:tcPr>
            <w:tcW w:w="5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7" w:type="dxa"/>
          </w:tcPr>
          <w:p>
            <w:pPr>
              <w:pStyle w:val="9"/>
              <w:spacing w:before="27"/>
              <w:ind w:left="102" w:right="94"/>
              <w:jc w:val="center"/>
              <w:rPr>
                <w:sz w:val="20"/>
              </w:rPr>
            </w:pPr>
            <w:r>
              <w:rPr>
                <w:sz w:val="20"/>
              </w:rPr>
              <w:t>58</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兽药经营企业应当向购买者提供技术咨询服务，指导购买者科学、安全、合理使用兽药。</w:t>
            </w:r>
          </w:p>
        </w:tc>
        <w:tc>
          <w:tcPr>
            <w:tcW w:w="5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47" w:type="dxa"/>
          </w:tcPr>
          <w:p>
            <w:pPr>
              <w:pStyle w:val="9"/>
              <w:spacing w:before="27"/>
              <w:ind w:left="102" w:right="94"/>
              <w:jc w:val="center"/>
              <w:rPr>
                <w:sz w:val="20"/>
              </w:rPr>
            </w:pPr>
            <w:r>
              <w:rPr>
                <w:sz w:val="20"/>
              </w:rPr>
              <w:t>59</w:t>
            </w:r>
          </w:p>
        </w:tc>
        <w:tc>
          <w:tcPr>
            <w:tcW w:w="616" w:type="dxa"/>
            <w:vMerge w:val="continue"/>
            <w:tcBorders>
              <w:top w:val="nil"/>
            </w:tcBorders>
          </w:tcPr>
          <w:p>
            <w:pPr>
              <w:rPr>
                <w:sz w:val="2"/>
                <w:szCs w:val="2"/>
              </w:rPr>
            </w:pPr>
          </w:p>
        </w:tc>
        <w:tc>
          <w:tcPr>
            <w:tcW w:w="12920" w:type="dxa"/>
          </w:tcPr>
          <w:p>
            <w:pPr>
              <w:pStyle w:val="9"/>
              <w:spacing w:before="27"/>
              <w:ind w:left="108"/>
              <w:rPr>
                <w:sz w:val="20"/>
              </w:rPr>
            </w:pPr>
            <w:r>
              <w:rPr>
                <w:sz w:val="20"/>
              </w:rPr>
              <w:t>兽药经营企业应当在经营场所明示服务公约和质量承诺，公布当地畜牧兽医管理部门监督电话，设置意见簿。</w:t>
            </w:r>
          </w:p>
        </w:tc>
        <w:tc>
          <w:tcPr>
            <w:tcW w:w="5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547" w:type="dxa"/>
          </w:tcPr>
          <w:p>
            <w:pPr>
              <w:pStyle w:val="9"/>
              <w:spacing w:before="1"/>
              <w:rPr>
                <w:rFonts w:ascii="Times New Roman"/>
                <w:sz w:val="16"/>
              </w:rPr>
            </w:pPr>
          </w:p>
          <w:p>
            <w:pPr>
              <w:pStyle w:val="9"/>
              <w:ind w:left="102" w:right="94"/>
              <w:jc w:val="center"/>
              <w:rPr>
                <w:sz w:val="20"/>
              </w:rPr>
            </w:pPr>
            <w:r>
              <w:rPr>
                <w:sz w:val="20"/>
              </w:rPr>
              <w:t>60</w:t>
            </w:r>
          </w:p>
        </w:tc>
        <w:tc>
          <w:tcPr>
            <w:tcW w:w="616" w:type="dxa"/>
            <w:vMerge w:val="continue"/>
            <w:tcBorders>
              <w:top w:val="nil"/>
            </w:tcBorders>
          </w:tcPr>
          <w:p>
            <w:pPr>
              <w:rPr>
                <w:sz w:val="2"/>
                <w:szCs w:val="2"/>
              </w:rPr>
            </w:pPr>
          </w:p>
        </w:tc>
        <w:tc>
          <w:tcPr>
            <w:tcW w:w="12920" w:type="dxa"/>
          </w:tcPr>
          <w:p>
            <w:pPr>
              <w:pStyle w:val="9"/>
              <w:spacing w:before="29"/>
              <w:ind w:left="108"/>
              <w:rPr>
                <w:sz w:val="20"/>
              </w:rPr>
            </w:pPr>
            <w:r>
              <w:rPr>
                <w:w w:val="95"/>
                <w:sz w:val="20"/>
              </w:rPr>
              <w:t>兽药经营企业应当注意收集兽药使用信息，发现假、劣兽药和质量可疑兽药以及严重兽药不良反应时，应当及时向所在地兽医行政管理部门报告，</w:t>
            </w:r>
          </w:p>
          <w:p>
            <w:pPr>
              <w:pStyle w:val="9"/>
              <w:spacing w:before="56"/>
              <w:ind w:left="108"/>
              <w:rPr>
                <w:sz w:val="20"/>
              </w:rPr>
            </w:pPr>
            <w:r>
              <w:rPr>
                <w:sz w:val="20"/>
              </w:rPr>
              <w:t>并根据规定做好相关工作。</w:t>
            </w:r>
          </w:p>
        </w:tc>
        <w:tc>
          <w:tcPr>
            <w:tcW w:w="537" w:type="dxa"/>
          </w:tcPr>
          <w:p>
            <w:pPr>
              <w:pStyle w:val="9"/>
              <w:rPr>
                <w:rFonts w:ascii="Times New Roman"/>
                <w:sz w:val="20"/>
              </w:rPr>
            </w:pPr>
          </w:p>
        </w:tc>
      </w:tr>
    </w:tbl>
    <w:p>
      <w:pPr>
        <w:pStyle w:val="4"/>
        <w:rPr>
          <w:rFonts w:ascii="Times New Roman"/>
          <w:sz w:val="20"/>
        </w:rPr>
      </w:pPr>
    </w:p>
    <w:p>
      <w:pPr>
        <w:pStyle w:val="4"/>
        <w:spacing w:before="1" w:after="1"/>
        <w:rPr>
          <w:rFonts w:ascii="Times New Roman"/>
          <w:sz w:val="11"/>
        </w:rPr>
      </w:pPr>
    </w:p>
    <w:tbl>
      <w:tblPr>
        <w:tblStyle w:val="5"/>
        <w:tblW w:w="0" w:type="auto"/>
        <w:tblInd w:w="1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16"/>
        <w:gridCol w:w="2529"/>
        <w:gridCol w:w="2199"/>
        <w:gridCol w:w="2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6" w:hRule="atLeast"/>
        </w:trPr>
        <w:tc>
          <w:tcPr>
            <w:tcW w:w="1316" w:type="dxa"/>
          </w:tcPr>
          <w:p>
            <w:pPr>
              <w:pStyle w:val="9"/>
              <w:spacing w:line="247" w:lineRule="exact"/>
              <w:ind w:left="50"/>
              <w:rPr>
                <w:rFonts w:hint="eastAsia" w:ascii="黑体" w:eastAsia="黑体"/>
                <w:sz w:val="22"/>
              </w:rPr>
            </w:pPr>
            <w:r>
              <w:rPr>
                <w:rFonts w:hint="eastAsia" w:ascii="黑体" w:eastAsia="黑体"/>
                <w:sz w:val="22"/>
              </w:rPr>
              <w:t>涉及总条款</w:t>
            </w:r>
          </w:p>
        </w:tc>
        <w:tc>
          <w:tcPr>
            <w:tcW w:w="2529" w:type="dxa"/>
          </w:tcPr>
          <w:p>
            <w:pPr>
              <w:pStyle w:val="9"/>
              <w:spacing w:line="247" w:lineRule="exact"/>
              <w:ind w:right="161"/>
              <w:jc w:val="right"/>
              <w:rPr>
                <w:rFonts w:hint="eastAsia" w:ascii="黑体" w:eastAsia="黑体"/>
                <w:sz w:val="22"/>
              </w:rPr>
            </w:pPr>
            <w:r>
              <w:rPr>
                <w:rFonts w:hint="eastAsia" w:ascii="黑体" w:eastAsia="黑体"/>
                <w:sz w:val="22"/>
              </w:rPr>
              <w:t>条，其中涉及一般条款</w:t>
            </w:r>
          </w:p>
        </w:tc>
        <w:tc>
          <w:tcPr>
            <w:tcW w:w="2199" w:type="dxa"/>
          </w:tcPr>
          <w:p>
            <w:pPr>
              <w:pStyle w:val="9"/>
              <w:spacing w:line="247" w:lineRule="exact"/>
              <w:ind w:left="144" w:right="144"/>
              <w:jc w:val="center"/>
              <w:rPr>
                <w:rFonts w:hint="eastAsia" w:ascii="黑体" w:hAnsi="黑体" w:eastAsia="黑体"/>
                <w:sz w:val="22"/>
              </w:rPr>
            </w:pPr>
            <w:r>
              <w:rPr>
                <w:rFonts w:hint="eastAsia" w:ascii="黑体" w:hAnsi="黑体" w:eastAsia="黑体"/>
                <w:sz w:val="22"/>
              </w:rPr>
              <w:t>条，结果属于“Y”</w:t>
            </w:r>
          </w:p>
        </w:tc>
        <w:tc>
          <w:tcPr>
            <w:tcW w:w="2305" w:type="dxa"/>
          </w:tcPr>
          <w:p>
            <w:pPr>
              <w:pStyle w:val="9"/>
              <w:tabs>
                <w:tab w:val="left" w:pos="1648"/>
              </w:tabs>
              <w:spacing w:line="247" w:lineRule="exact"/>
              <w:ind w:right="45"/>
              <w:jc w:val="right"/>
              <w:rPr>
                <w:rFonts w:hint="eastAsia" w:ascii="黑体" w:hAnsi="黑体" w:eastAsia="黑体"/>
                <w:sz w:val="22"/>
              </w:rPr>
            </w:pPr>
            <w:r>
              <w:rPr>
                <w:rFonts w:hint="eastAsia" w:ascii="黑体" w:hAnsi="黑体" w:eastAsia="黑体"/>
                <w:sz w:val="22"/>
              </w:rPr>
              <w:t>条</w:t>
            </w:r>
            <w:r>
              <w:rPr>
                <w:rFonts w:hint="eastAsia" w:ascii="黑体" w:hAnsi="黑体" w:eastAsia="黑体"/>
                <w:spacing w:val="-3"/>
                <w:sz w:val="22"/>
              </w:rPr>
              <w:t>，</w:t>
            </w:r>
            <w:r>
              <w:rPr>
                <w:rFonts w:hint="eastAsia" w:ascii="黑体" w:hAnsi="黑体" w:eastAsia="黑体"/>
                <w:sz w:val="22"/>
              </w:rPr>
              <w:t>属</w:t>
            </w:r>
            <w:r>
              <w:rPr>
                <w:rFonts w:hint="eastAsia" w:ascii="黑体" w:hAnsi="黑体" w:eastAsia="黑体"/>
                <w:spacing w:val="-3"/>
                <w:sz w:val="22"/>
              </w:rPr>
              <w:t>于</w:t>
            </w:r>
            <w:r>
              <w:rPr>
                <w:rFonts w:hint="eastAsia" w:ascii="黑体" w:hAnsi="黑体" w:eastAsia="黑体"/>
                <w:sz w:val="22"/>
              </w:rPr>
              <w:t>“N”</w:t>
            </w:r>
            <w:r>
              <w:rPr>
                <w:rFonts w:hint="eastAsia" w:ascii="黑体" w:hAnsi="黑体" w:eastAsia="黑体"/>
                <w:sz w:val="22"/>
              </w:rPr>
              <w:tab/>
            </w:r>
            <w:r>
              <w:rPr>
                <w:rFonts w:hint="eastAsia" w:ascii="黑体" w:hAnsi="黑体" w:eastAsia="黑体"/>
                <w:spacing w:val="-1"/>
                <w:sz w:val="22"/>
              </w:rPr>
              <w:t>条</w:t>
            </w:r>
            <w:r>
              <w:rPr>
                <w:rFonts w:hint="eastAsia" w:ascii="黑体" w:hAnsi="黑体" w:eastAsia="黑体"/>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1316" w:type="dxa"/>
          </w:tcPr>
          <w:p>
            <w:pPr>
              <w:pStyle w:val="9"/>
              <w:rPr>
                <w:rFonts w:ascii="Times New Roman"/>
                <w:sz w:val="18"/>
              </w:rPr>
            </w:pPr>
          </w:p>
        </w:tc>
        <w:tc>
          <w:tcPr>
            <w:tcW w:w="2529" w:type="dxa"/>
          </w:tcPr>
          <w:p>
            <w:pPr>
              <w:pStyle w:val="9"/>
              <w:spacing w:before="15" w:line="231" w:lineRule="exact"/>
              <w:ind w:right="164"/>
              <w:jc w:val="right"/>
              <w:rPr>
                <w:rFonts w:hint="eastAsia" w:ascii="黑体" w:eastAsia="黑体"/>
                <w:sz w:val="22"/>
              </w:rPr>
            </w:pPr>
            <w:r>
              <w:rPr>
                <w:rFonts w:hint="eastAsia" w:ascii="黑体" w:eastAsia="黑体"/>
                <w:sz w:val="22"/>
              </w:rPr>
              <w:t>涉及关键条款</w:t>
            </w:r>
          </w:p>
        </w:tc>
        <w:tc>
          <w:tcPr>
            <w:tcW w:w="2199" w:type="dxa"/>
          </w:tcPr>
          <w:p>
            <w:pPr>
              <w:pStyle w:val="9"/>
              <w:spacing w:before="15" w:line="231" w:lineRule="exact"/>
              <w:ind w:left="144" w:right="144"/>
              <w:jc w:val="center"/>
              <w:rPr>
                <w:rFonts w:hint="eastAsia" w:ascii="黑体" w:hAnsi="黑体" w:eastAsia="黑体"/>
                <w:sz w:val="22"/>
              </w:rPr>
            </w:pPr>
            <w:r>
              <w:rPr>
                <w:rFonts w:hint="eastAsia" w:ascii="黑体" w:hAnsi="黑体" w:eastAsia="黑体"/>
                <w:sz w:val="22"/>
              </w:rPr>
              <w:t>条，结果属于“Y”</w:t>
            </w:r>
          </w:p>
        </w:tc>
        <w:tc>
          <w:tcPr>
            <w:tcW w:w="2305" w:type="dxa"/>
          </w:tcPr>
          <w:p>
            <w:pPr>
              <w:pStyle w:val="9"/>
              <w:tabs>
                <w:tab w:val="left" w:pos="1648"/>
              </w:tabs>
              <w:spacing w:before="15" w:line="231" w:lineRule="exact"/>
              <w:ind w:right="45"/>
              <w:jc w:val="right"/>
              <w:rPr>
                <w:rFonts w:hint="eastAsia" w:ascii="黑体" w:hAnsi="黑体" w:eastAsia="黑体"/>
                <w:sz w:val="22"/>
              </w:rPr>
            </w:pPr>
            <w:r>
              <w:rPr>
                <w:rFonts w:hint="eastAsia" w:ascii="黑体" w:hAnsi="黑体" w:eastAsia="黑体"/>
                <w:sz w:val="22"/>
              </w:rPr>
              <w:t>条</w:t>
            </w:r>
            <w:r>
              <w:rPr>
                <w:rFonts w:hint="eastAsia" w:ascii="黑体" w:hAnsi="黑体" w:eastAsia="黑体"/>
                <w:spacing w:val="-3"/>
                <w:sz w:val="22"/>
              </w:rPr>
              <w:t>，</w:t>
            </w:r>
            <w:r>
              <w:rPr>
                <w:rFonts w:hint="eastAsia" w:ascii="黑体" w:hAnsi="黑体" w:eastAsia="黑体"/>
                <w:sz w:val="22"/>
              </w:rPr>
              <w:t>属</w:t>
            </w:r>
            <w:r>
              <w:rPr>
                <w:rFonts w:hint="eastAsia" w:ascii="黑体" w:hAnsi="黑体" w:eastAsia="黑体"/>
                <w:spacing w:val="-3"/>
                <w:sz w:val="22"/>
              </w:rPr>
              <w:t>于</w:t>
            </w:r>
            <w:r>
              <w:rPr>
                <w:rFonts w:hint="eastAsia" w:ascii="黑体" w:hAnsi="黑体" w:eastAsia="黑体"/>
                <w:sz w:val="22"/>
              </w:rPr>
              <w:t>“N”</w:t>
            </w:r>
            <w:r>
              <w:rPr>
                <w:rFonts w:hint="eastAsia" w:ascii="黑体" w:hAnsi="黑体" w:eastAsia="黑体"/>
                <w:sz w:val="22"/>
              </w:rPr>
              <w:tab/>
            </w:r>
            <w:r>
              <w:rPr>
                <w:rFonts w:hint="eastAsia" w:ascii="黑体" w:hAnsi="黑体" w:eastAsia="黑体"/>
                <w:spacing w:val="-1"/>
                <w:sz w:val="22"/>
              </w:rPr>
              <w:t>条</w:t>
            </w:r>
            <w:r>
              <w:rPr>
                <w:rFonts w:hint="eastAsia" w:ascii="黑体" w:hAnsi="黑体" w:eastAsia="黑体"/>
                <w:sz w:val="22"/>
              </w:rPr>
              <w:t>。</w:t>
            </w:r>
          </w:p>
        </w:tc>
      </w:tr>
    </w:tbl>
    <w:p>
      <w:pPr>
        <w:pStyle w:val="4"/>
        <w:spacing w:before="4"/>
        <w:rPr>
          <w:rFonts w:ascii="Times New Roman"/>
          <w:sz w:val="26"/>
        </w:rPr>
      </w:pPr>
    </w:p>
    <w:p>
      <w:pPr>
        <w:spacing w:before="70"/>
        <w:ind w:left="228" w:right="0" w:firstLine="0"/>
        <w:jc w:val="left"/>
        <w:rPr>
          <w:rFonts w:hint="eastAsia" w:ascii="黑体" w:eastAsia="黑体"/>
          <w:sz w:val="22"/>
        </w:rPr>
      </w:pPr>
      <w:r>
        <w:rPr>
          <w:rFonts w:hint="eastAsia" w:ascii="黑体" w:eastAsia="黑体"/>
          <w:sz w:val="22"/>
        </w:rPr>
        <w:t>检查组成员签名：</w:t>
      </w:r>
    </w:p>
    <w:p>
      <w:pPr>
        <w:pStyle w:val="4"/>
        <w:spacing w:before="8"/>
        <w:rPr>
          <w:rFonts w:ascii="黑体"/>
          <w:sz w:val="26"/>
        </w:rPr>
      </w:pPr>
    </w:p>
    <w:p>
      <w:pPr>
        <w:tabs>
          <w:tab w:val="left" w:pos="1437"/>
          <w:tab w:val="left" w:pos="3088"/>
          <w:tab w:val="left" w:pos="3638"/>
          <w:tab w:val="left" w:pos="4187"/>
        </w:tabs>
        <w:spacing w:before="1"/>
        <w:ind w:left="228" w:right="0" w:firstLine="0"/>
        <w:jc w:val="left"/>
        <w:rPr>
          <w:rFonts w:hint="eastAsia" w:ascii="黑体" w:eastAsia="黑体"/>
          <w:sz w:val="22"/>
        </w:rPr>
      </w:pPr>
      <w:r>
        <w:rPr>
          <w:rFonts w:hint="eastAsia" w:ascii="黑体" w:eastAsia="黑体"/>
          <w:sz w:val="22"/>
        </w:rPr>
        <w:t>日</w:t>
      </w:r>
      <w:r>
        <w:rPr>
          <w:rFonts w:hint="eastAsia" w:ascii="黑体" w:eastAsia="黑体"/>
          <w:sz w:val="22"/>
        </w:rPr>
        <w:tab/>
      </w:r>
      <w:r>
        <w:rPr>
          <w:rFonts w:hint="eastAsia" w:ascii="黑体" w:eastAsia="黑体"/>
          <w:sz w:val="22"/>
        </w:rPr>
        <w:t>期：</w:t>
      </w:r>
      <w:r>
        <w:rPr>
          <w:rFonts w:hint="eastAsia" w:ascii="黑体" w:eastAsia="黑体"/>
          <w:sz w:val="22"/>
        </w:rPr>
        <w:tab/>
      </w:r>
      <w:r>
        <w:rPr>
          <w:rFonts w:hint="eastAsia" w:ascii="黑体" w:eastAsia="黑体"/>
          <w:sz w:val="22"/>
        </w:rPr>
        <w:t>年</w:t>
      </w:r>
      <w:r>
        <w:rPr>
          <w:rFonts w:hint="eastAsia" w:ascii="黑体" w:eastAsia="黑体"/>
          <w:sz w:val="22"/>
        </w:rPr>
        <w:tab/>
      </w:r>
      <w:r>
        <w:rPr>
          <w:rFonts w:hint="eastAsia" w:ascii="黑体" w:eastAsia="黑体"/>
          <w:sz w:val="22"/>
        </w:rPr>
        <w:t>月</w:t>
      </w:r>
      <w:r>
        <w:rPr>
          <w:rFonts w:hint="eastAsia" w:ascii="黑体" w:eastAsia="黑体"/>
          <w:sz w:val="22"/>
        </w:rPr>
        <w:tab/>
      </w:r>
      <w:r>
        <w:rPr>
          <w:rFonts w:hint="eastAsia" w:ascii="黑体" w:eastAsia="黑体"/>
          <w:sz w:val="22"/>
        </w:rPr>
        <w:t>日</w:t>
      </w:r>
    </w:p>
    <w:sectPr>
      <w:pgSz w:w="16840" w:h="11910" w:orient="landscape"/>
      <w:pgMar w:top="1100" w:right="660" w:bottom="1100" w:left="1320" w:header="0" w:footer="9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293.4pt;margin-top:745.6pt;height:11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rFonts w:ascii="仿宋_GB2312"/>
                    <w:sz w:val="18"/>
                  </w:rPr>
                </w:pPr>
                <w:r>
                  <w:fldChar w:fldCharType="begin"/>
                </w:r>
                <w:r>
                  <w:rPr>
                    <w:rFonts w:ascii="仿宋_GB2312"/>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2"/>
      </w:rPr>
    </w:pPr>
    <w:r>
      <w:pict>
        <v:shape id="_x0000_s2050" o:spid="_x0000_s2050" o:spt="202" type="#_x0000_t202" style="position:absolute;left:0pt;margin-left:416.65pt;margin-top:534.85pt;height:12pt;width:8.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3C4E19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30" w:right="251"/>
      <w:jc w:val="center"/>
      <w:outlineLvl w:val="1"/>
    </w:pPr>
    <w:rPr>
      <w:rFonts w:ascii="黑体" w:hAnsi="黑体" w:eastAsia="黑体" w:cs="黑体"/>
      <w:sz w:val="44"/>
      <w:szCs w:val="44"/>
      <w:lang w:val="zh-CN" w:eastAsia="zh-CN" w:bidi="zh-CN"/>
    </w:rPr>
  </w:style>
  <w:style w:type="paragraph" w:styleId="3">
    <w:name w:val="heading 2"/>
    <w:basedOn w:val="1"/>
    <w:next w:val="1"/>
    <w:qFormat/>
    <w:uiPriority w:val="1"/>
    <w:pPr>
      <w:spacing w:line="408" w:lineRule="exact"/>
      <w:ind w:left="751"/>
      <w:outlineLvl w:val="2"/>
    </w:pPr>
    <w:rPr>
      <w:rFonts w:ascii="黑体" w:hAnsi="黑体" w:eastAsia="黑体" w:cs="黑体"/>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0"/>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2021-11-26T02:26:00Z</dcterms:created>
  <dc:creator>Administrator</dc:creator>
  <cp:lastModifiedBy>曾曾</cp:lastModifiedBy>
  <dcterms:modified xsi:type="dcterms:W3CDTF">2021-11-26T02:27:02Z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7954236AE9954DBAB0215CE02C5506AB</vt:lpwstr>
  </property>
</Properties>
</file>