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p>
    <w:p>
      <w:pPr>
        <w:pStyle w:val="8"/>
        <w:pageBreakBefore w:val="0"/>
        <w:kinsoku/>
        <w:wordWrap/>
        <w:overflowPunct/>
        <w:topLinePunct w:val="0"/>
        <w:autoSpaceDE/>
        <w:autoSpaceDN/>
        <w:bidi w:val="0"/>
        <w:adjustRightInd/>
        <w:snapToGrid/>
        <w:spacing w:before="0" w:after="0"/>
        <w:ind w:firstLine="0" w:firstLineChars="0"/>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海口市琼山区林村幼儿园建设项目</w:t>
      </w:r>
    </w:p>
    <w:p>
      <w:pPr>
        <w:pStyle w:val="8"/>
        <w:pageBreakBefore w:val="0"/>
        <w:kinsoku/>
        <w:wordWrap/>
        <w:overflowPunct/>
        <w:topLinePunct w:val="0"/>
        <w:autoSpaceDE/>
        <w:autoSpaceDN/>
        <w:bidi w:val="0"/>
        <w:adjustRightInd/>
        <w:snapToGrid/>
        <w:spacing w:before="0" w:after="0"/>
        <w:ind w:firstLine="0" w:firstLineChars="0"/>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2023年度绩效自评报告</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一、基本情况</w:t>
      </w: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（一）项目概况。</w:t>
      </w:r>
    </w:p>
    <w:p>
      <w:pPr>
        <w:pageBreakBefore w:val="0"/>
        <w:kinsoku/>
        <w:wordWrap/>
        <w:overflowPunct/>
        <w:topLinePunct w:val="0"/>
        <w:autoSpaceDE/>
        <w:autoSpaceDN/>
        <w:bidi w:val="0"/>
        <w:adjustRightInd/>
        <w:snapToGrid/>
        <w:jc w:val="left"/>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该项目位于海口市琼山区</w:t>
      </w:r>
      <w:r>
        <w:rPr>
          <w:rFonts w:hint="eastAsia" w:hAnsi="仿宋_GB2312" w:cs="仿宋_GB2312"/>
          <w:color w:val="auto"/>
          <w:sz w:val="32"/>
          <w:szCs w:val="32"/>
          <w:lang w:val="en-US" w:eastAsia="zh-CN"/>
        </w:rPr>
        <w:t>新大洲大道东侧（滨江新城片区林村）</w:t>
      </w:r>
      <w:r>
        <w:rPr>
          <w:rFonts w:hint="eastAsia" w:ascii="仿宋_GB2312" w:hAnsi="仿宋_GB2312" w:eastAsia="仿宋_GB2312" w:cs="仿宋_GB2312"/>
          <w:color w:val="auto"/>
          <w:sz w:val="32"/>
          <w:szCs w:val="32"/>
        </w:rPr>
        <w:t>，</w:t>
      </w:r>
      <w:r>
        <w:rPr>
          <w:rFonts w:hint="eastAsia" w:hAnsi="仿宋_GB2312" w:cs="仿宋_GB2312"/>
          <w:color w:val="auto"/>
          <w:sz w:val="32"/>
          <w:szCs w:val="32"/>
          <w:lang w:val="en-US" w:eastAsia="zh-CN"/>
        </w:rPr>
        <w:t>拟建教学综合楼，</w:t>
      </w:r>
      <w:r>
        <w:rPr>
          <w:rFonts w:hint="eastAsia" w:ascii="仿宋_GB2312" w:hAnsi="仿宋_GB2312" w:eastAsia="仿宋_GB2312" w:cs="仿宋_GB2312"/>
          <w:color w:val="auto"/>
          <w:sz w:val="32"/>
          <w:szCs w:val="32"/>
        </w:rPr>
        <w:t>主要建设内容为</w:t>
      </w:r>
      <w:r>
        <w:rPr>
          <w:rFonts w:hint="eastAsia" w:hAnsi="仿宋_GB2312" w:cs="仿宋_GB2312"/>
          <w:color w:val="auto"/>
          <w:sz w:val="32"/>
          <w:szCs w:val="32"/>
          <w:lang w:val="en-US" w:eastAsia="zh-CN"/>
        </w:rPr>
        <w:t>教学综合楼的土建（含装修）、电气、给排水、暖通空调、弱电智能化系统、消防等工程。总建筑面积为3912平方米，其中地下408.23平方米，地上3503.77平方米。项目建成后可提供学前教育学位270个，缓解片区学位紧张问题。</w:t>
      </w:r>
    </w:p>
    <w:p>
      <w:pPr>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项目总投资：该项目概算总投资</w:t>
      </w:r>
      <w:r>
        <w:rPr>
          <w:rFonts w:hint="eastAsia" w:hAnsi="仿宋_GB2312" w:cs="仿宋_GB2312"/>
          <w:color w:val="auto"/>
          <w:sz w:val="32"/>
          <w:szCs w:val="32"/>
          <w:lang w:val="en-US" w:eastAsia="zh-CN"/>
        </w:rPr>
        <w:t>3662.09</w:t>
      </w:r>
      <w:r>
        <w:rPr>
          <w:rFonts w:hint="eastAsia" w:ascii="仿宋_GB2312" w:hAnsi="仿宋_GB2312" w:eastAsia="仿宋_GB2312" w:cs="仿宋_GB2312"/>
          <w:color w:val="auto"/>
          <w:sz w:val="32"/>
          <w:szCs w:val="32"/>
        </w:rPr>
        <w:t>万元，其中工程费为</w:t>
      </w:r>
      <w:r>
        <w:rPr>
          <w:rFonts w:hint="eastAsia" w:hAnsi="仿宋_GB2312" w:cs="仿宋_GB2312"/>
          <w:color w:val="auto"/>
          <w:sz w:val="32"/>
          <w:szCs w:val="32"/>
          <w:lang w:val="en-US" w:eastAsia="zh-CN"/>
        </w:rPr>
        <w:t>3086.12</w:t>
      </w:r>
      <w:r>
        <w:rPr>
          <w:rFonts w:hint="eastAsia" w:ascii="仿宋_GB2312" w:hAnsi="仿宋_GB2312" w:eastAsia="仿宋_GB2312" w:cs="仿宋_GB2312"/>
          <w:color w:val="auto"/>
          <w:sz w:val="32"/>
          <w:szCs w:val="32"/>
        </w:rPr>
        <w:t>万元，工程建设其他费</w:t>
      </w:r>
      <w:r>
        <w:rPr>
          <w:rFonts w:hint="eastAsia" w:hAnsi="仿宋_GB2312" w:cs="仿宋_GB2312"/>
          <w:color w:val="auto"/>
          <w:sz w:val="32"/>
          <w:szCs w:val="32"/>
          <w:lang w:val="en-US" w:eastAsia="zh-CN"/>
        </w:rPr>
        <w:t>401.58</w:t>
      </w:r>
      <w:r>
        <w:rPr>
          <w:rFonts w:hint="eastAsia" w:ascii="仿宋_GB2312" w:hAnsi="仿宋_GB2312" w:eastAsia="仿宋_GB2312" w:cs="仿宋_GB2312"/>
          <w:color w:val="auto"/>
          <w:sz w:val="32"/>
          <w:szCs w:val="32"/>
        </w:rPr>
        <w:t>万元，预备费</w:t>
      </w:r>
      <w:r>
        <w:rPr>
          <w:rFonts w:hint="eastAsia" w:hAnsi="仿宋_GB2312" w:cs="仿宋_GB2312"/>
          <w:color w:val="auto"/>
          <w:sz w:val="32"/>
          <w:szCs w:val="32"/>
          <w:lang w:val="en-US" w:eastAsia="zh-CN"/>
        </w:rPr>
        <w:t>174.39</w:t>
      </w:r>
      <w:r>
        <w:rPr>
          <w:rFonts w:hint="eastAsia" w:ascii="仿宋_GB2312" w:hAnsi="仿宋_GB2312" w:eastAsia="仿宋_GB2312" w:cs="仿宋_GB2312"/>
          <w:color w:val="auto"/>
          <w:sz w:val="32"/>
          <w:szCs w:val="32"/>
        </w:rPr>
        <w:t>万元，建设单位管理费</w:t>
      </w:r>
      <w:r>
        <w:rPr>
          <w:rFonts w:hint="eastAsia" w:hAnsi="仿宋_GB2312" w:cs="仿宋_GB2312"/>
          <w:color w:val="auto"/>
          <w:sz w:val="32"/>
          <w:szCs w:val="32"/>
          <w:lang w:val="en-US" w:eastAsia="zh-CN"/>
        </w:rPr>
        <w:t>47.38</w:t>
      </w:r>
      <w:r>
        <w:rPr>
          <w:rFonts w:hint="eastAsia" w:ascii="仿宋_GB2312" w:hAnsi="仿宋_GB2312" w:eastAsia="仿宋_GB2312" w:cs="仿宋_GB2312"/>
          <w:color w:val="auto"/>
          <w:sz w:val="32"/>
          <w:szCs w:val="32"/>
        </w:rPr>
        <w:t>万元，土地征用及迁移补偿费约为</w:t>
      </w:r>
      <w:r>
        <w:rPr>
          <w:rFonts w:hint="eastAsia" w:hAnsi="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（二）项目资金情况。</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该项目2023年共到位资金1000万元，其中2023年地债资金</w:t>
      </w:r>
      <w:r>
        <w:rPr>
          <w:rFonts w:hint="eastAsia" w:hAnsi="仿宋_GB2312" w:cs="仿宋_GB2312"/>
          <w:color w:val="auto"/>
          <w:sz w:val="32"/>
          <w:szCs w:val="32"/>
          <w:lang w:val="en-US" w:eastAsia="zh-CN"/>
        </w:rPr>
        <w:t>1000</w:t>
      </w:r>
      <w:r>
        <w:rPr>
          <w:rFonts w:hint="eastAsia" w:ascii="仿宋_GB2312" w:hAnsi="仿宋_GB2312" w:eastAsia="仿宋_GB2312" w:cs="仿宋_GB2312"/>
          <w:color w:val="auto"/>
          <w:sz w:val="32"/>
          <w:szCs w:val="32"/>
        </w:rPr>
        <w:t>万元，已全部使用完毕。</w:t>
      </w:r>
    </w:p>
    <w:p>
      <w:pPr>
        <w:pStyle w:val="2"/>
        <w:pageBreakBefore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二、绩效目标完成情况分析</w:t>
      </w: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（一）资金情况分析。</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该项目</w:t>
      </w:r>
      <w:bookmarkStart w:id="0" w:name="_Hlk167981178"/>
      <w:r>
        <w:rPr>
          <w:rFonts w:hint="eastAsia" w:ascii="仿宋_GB2312" w:hAnsi="仿宋_GB2312" w:eastAsia="仿宋_GB2312" w:cs="仿宋_GB2312"/>
          <w:color w:val="auto"/>
          <w:sz w:val="32"/>
          <w:szCs w:val="32"/>
        </w:rPr>
        <w:t>2023年共到位资金1000万元</w:t>
      </w:r>
      <w:bookmarkEnd w:id="0"/>
      <w:r>
        <w:rPr>
          <w:rFonts w:hint="eastAsia" w:ascii="仿宋_GB2312" w:hAnsi="仿宋_GB2312" w:eastAsia="仿宋_GB2312" w:cs="仿宋_GB2312"/>
          <w:color w:val="auto"/>
          <w:sz w:val="32"/>
          <w:szCs w:val="32"/>
        </w:rPr>
        <w:t>，其中2023年地债资金1000万元。在项目资金使用上，业主单位严格执行政府投资项目和资金管理办法，严格落实资金审批程序，加快资金拨付，全面保障项目建设资金用款需要。</w:t>
      </w:r>
    </w:p>
    <w:p>
      <w:pPr>
        <w:pStyle w:val="2"/>
        <w:pageBreakBefore w:val="0"/>
        <w:numPr>
          <w:ilvl w:val="0"/>
          <w:numId w:val="1"/>
        </w:numPr>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总体目标完成情况分析。</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项目年度目标为：</w:t>
      </w:r>
      <w:r>
        <w:rPr>
          <w:rFonts w:hint="eastAsia" w:ascii="仿宋_GB2312" w:hAnsi="仿宋_GB2312" w:eastAsia="仿宋_GB2312" w:cs="仿宋_GB2312"/>
          <w:color w:val="auto"/>
          <w:sz w:val="32"/>
          <w:szCs w:val="32"/>
        </w:rPr>
        <w:t>项目2023年的施工计划是施工单位完成</w:t>
      </w:r>
      <w:r>
        <w:rPr>
          <w:rFonts w:hint="eastAsia" w:hAnsi="仿宋_GB2312" w:cs="仿宋_GB2312"/>
          <w:color w:val="auto"/>
          <w:sz w:val="32"/>
          <w:szCs w:val="32"/>
          <w:lang w:val="en-US" w:eastAsia="zh-CN"/>
        </w:rPr>
        <w:t>教学综合楼一层砖墙工程，二层墙体90%及设备房地下室开挖工程，达到项目工程总体建设进度的75%</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项目年度完成情况：</w:t>
      </w:r>
      <w:r>
        <w:rPr>
          <w:rFonts w:hint="eastAsia" w:ascii="仿宋_GB2312" w:hAnsi="仿宋_GB2312" w:eastAsia="仿宋_GB2312" w:cs="仿宋_GB2312"/>
          <w:color w:val="auto"/>
          <w:sz w:val="32"/>
          <w:szCs w:val="32"/>
        </w:rPr>
        <w:t>项目2023年底已完成</w:t>
      </w:r>
      <w:r>
        <w:rPr>
          <w:rFonts w:hint="eastAsia" w:hAnsi="仿宋_GB2312" w:cs="仿宋_GB2312"/>
          <w:color w:val="auto"/>
          <w:sz w:val="32"/>
          <w:szCs w:val="32"/>
          <w:lang w:val="en-US" w:eastAsia="zh-CN"/>
        </w:rPr>
        <w:t>教学综合楼一层砖墙工程，二层墙体80%及设备房地下室开挖工程，达到项目工程总体建设进度75%的</w:t>
      </w:r>
      <w:r>
        <w:rPr>
          <w:rFonts w:hint="eastAsia" w:ascii="仿宋_GB2312" w:hAnsi="仿宋_GB2312" w:eastAsia="仿宋_GB2312" w:cs="仿宋_GB2312"/>
          <w:color w:val="auto"/>
          <w:sz w:val="32"/>
          <w:szCs w:val="32"/>
        </w:rPr>
        <w:t>建设工作。已完成年度目标。</w:t>
      </w: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（三）绩效指标完成情况分析。</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1.产出指标：</w:t>
      </w:r>
    </w:p>
    <w:p>
      <w:pPr>
        <w:pageBreakBefore w:val="0"/>
        <w:widowControl/>
        <w:kinsoku/>
        <w:wordWrap/>
        <w:overflowPunct/>
        <w:topLinePunct w:val="0"/>
        <w:autoSpaceDE/>
        <w:autoSpaceDN/>
        <w:bidi w:val="0"/>
        <w:adjustRightInd/>
        <w:snapToGrid/>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（1）获得可研、概算批复数量：   </w:t>
      </w:r>
    </w:p>
    <w:p>
      <w:pPr>
        <w:pageBreakBefore w:val="0"/>
        <w:widowControl/>
        <w:kinsoku/>
        <w:wordWrap/>
        <w:overflowPunct/>
        <w:topLinePunct w:val="0"/>
        <w:autoSpaceDE/>
        <w:autoSpaceDN/>
        <w:bidi w:val="0"/>
        <w:adjustRightInd/>
        <w:snapToGrid/>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目标：≥</w:t>
      </w:r>
      <w:r>
        <w:rPr>
          <w:rFonts w:hint="eastAsia" w:hAnsi="仿宋_GB2312" w:cs="仿宋_GB2312"/>
          <w:color w:val="auto"/>
          <w:sz w:val="32"/>
          <w:szCs w:val="32"/>
          <w:lang w:val="en-US" w:eastAsia="zh-CN"/>
        </w:rPr>
        <w:t>1</w:t>
      </w:r>
      <w:r>
        <w:rPr>
          <w:rFonts w:hint="eastAsia" w:ascii="仿宋_GB2312" w:hAnsi="仿宋_GB2312" w:eastAsia="仿宋_GB2312" w:cs="仿宋_GB2312"/>
          <w:color w:val="auto"/>
          <w:sz w:val="32"/>
          <w:szCs w:val="32"/>
        </w:rPr>
        <w:t>项</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完成情况：完成可研及概算的批复</w:t>
      </w:r>
      <w:r>
        <w:rPr>
          <w:rFonts w:hint="eastAsia" w:hAnsi="仿宋_GB2312" w:cs="仿宋_GB2312"/>
          <w:color w:val="auto"/>
          <w:sz w:val="32"/>
          <w:szCs w:val="32"/>
          <w:lang w:val="en-US" w:eastAsia="zh-CN"/>
        </w:rPr>
        <w:t>1</w:t>
      </w:r>
      <w:r>
        <w:rPr>
          <w:rFonts w:hint="eastAsia" w:ascii="仿宋_GB2312" w:hAnsi="仿宋_GB2312" w:eastAsia="仿宋_GB2312" w:cs="仿宋_GB2312"/>
          <w:color w:val="auto"/>
          <w:sz w:val="32"/>
          <w:szCs w:val="32"/>
        </w:rPr>
        <w:t>项。完成目标绩效。</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（2）超概算比例：</w:t>
      </w:r>
    </w:p>
    <w:p>
      <w:pPr>
        <w:pStyle w:val="4"/>
        <w:pageBreakBefore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目标：≤5%</w:t>
      </w:r>
    </w:p>
    <w:p>
      <w:pPr>
        <w:pStyle w:val="4"/>
        <w:pageBreakBefore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完成情况：未超出概算批复。完</w:t>
      </w:r>
      <w:bookmarkStart w:id="1" w:name="_GoBack"/>
      <w:bookmarkEnd w:id="1"/>
      <w:r>
        <w:rPr>
          <w:rFonts w:hint="eastAsia" w:ascii="仿宋_GB2312" w:hAnsi="仿宋_GB2312" w:eastAsia="仿宋_GB2312" w:cs="仿宋_GB2312"/>
          <w:color w:val="auto"/>
          <w:sz w:val="32"/>
          <w:szCs w:val="32"/>
        </w:rPr>
        <w:t>成目标绩效。</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2.效益指标：</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目标：项目受益人数≥200人。</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完成情况：项目周边群众收益，受益人数已超200人。完成目标绩效。</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3.满意度指标：</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目标：受益群体满意度≥90%</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完成情况：未发现受益群众不满意情况。完成目标绩效。</w:t>
      </w: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（四）整体绩效自评。</w:t>
      </w:r>
    </w:p>
    <w:p>
      <w:pPr>
        <w:pStyle w:val="8"/>
        <w:pageBreakBefore w:val="0"/>
        <w:kinsoku/>
        <w:wordWrap/>
        <w:overflowPunct/>
        <w:topLinePunct w:val="0"/>
        <w:autoSpaceDE/>
        <w:autoSpaceDN/>
        <w:bidi w:val="0"/>
        <w:adjustRightInd/>
        <w:snapToGrid/>
        <w:spacing w:before="0" w:after="0"/>
        <w:ind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bidi="ar"/>
        </w:rPr>
        <w:t xml:space="preserve">      该年度海口市琼山区林村幼儿园建设项目整体效益目标已按时完成，绩效自评分数9</w:t>
      </w:r>
      <w:r>
        <w:rPr>
          <w:rFonts w:hint="eastAsia" w:ascii="仿宋_GB2312" w:hAnsi="仿宋_GB2312" w:eastAsia="仿宋_GB2312" w:cs="仿宋_GB2312"/>
          <w:b w:val="0"/>
          <w:bCs w:val="0"/>
          <w:color w:val="auto"/>
          <w:sz w:val="32"/>
          <w:szCs w:val="32"/>
          <w:lang w:val="en-US" w:eastAsia="zh-CN" w:bidi="ar"/>
        </w:rPr>
        <w:t>8</w:t>
      </w:r>
      <w:r>
        <w:rPr>
          <w:rFonts w:hint="eastAsia" w:ascii="仿宋_GB2312" w:hAnsi="仿宋_GB2312" w:eastAsia="仿宋_GB2312" w:cs="仿宋_GB2312"/>
          <w:b w:val="0"/>
          <w:bCs w:val="0"/>
          <w:color w:val="auto"/>
          <w:sz w:val="32"/>
          <w:szCs w:val="32"/>
          <w:lang w:bidi="ar"/>
        </w:rPr>
        <w:t>分，自评等级优。</w:t>
      </w: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三、发现的主要问题和改进措施</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四、绩效自评结果拟应用和公开情况</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拟将绩效自评结果用于后续对于建设、施工等单位的履职尽责以及专业胜任能力的考核，可作为后续相关合作的考虑因素。</w:t>
      </w: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五、绩效自评工作开展情况</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根据《中共中央国务院关于全面实施预算绩效管理的意见》，我单位以全面实施预算绩效管理为关键点和突破口，推动财政资金聚力增效，提高公共服务供给质量，增强政府公信力和执行力。按照“预算花钱必问效”的原则，我单位持续对政府投资项目，尤其是获得中央资金的项目开展绩效自评工作，强化绩效目标管理，做好绩效运行监控，并开展绩效评价和结果应用。</w:t>
      </w: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六、偿债资金来源</w:t>
      </w:r>
    </w:p>
    <w:p>
      <w:pPr>
        <w:pageBreakBefore w:val="0"/>
        <w:kinsoku/>
        <w:wordWrap/>
        <w:overflowPunct/>
        <w:topLinePunct w:val="0"/>
        <w:autoSpaceDE/>
        <w:autoSpaceDN/>
        <w:bidi w:val="0"/>
        <w:adjustRightInd/>
        <w:snapToGrid/>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本项目</w:t>
      </w:r>
      <w:r>
        <w:rPr>
          <w:rFonts w:hint="eastAsia" w:hAnsi="仿宋_GB2312" w:cs="仿宋_GB2312"/>
          <w:color w:val="auto"/>
          <w:sz w:val="32"/>
          <w:szCs w:val="32"/>
          <w:lang w:val="en-US" w:eastAsia="zh-CN"/>
        </w:rPr>
        <w:t>偿债资金由政府统筹安排。</w:t>
      </w: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七、融资与项目收益平衡等反映偿债能力、偿债风险的指标</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影响本项目融资平衡最大的风险在于对未来经营预测、项目进度以及项目整体现金流测算等重要环节出现判断偏差。经营预测偏大或偏小直接导致投资总额设计偏大或偏小;对项目进度错判将导致融资节奏错乱，导致资金不能及时足额注入到项目或者大额资金不能充分运用的后果;整体现金流测算出现偏差将导致项目可行性分析不能及时纠偏，项目资金投入和现金流入不能平衡的结果。</w:t>
      </w: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八、其他需要说明的问题</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暂无。</w:t>
      </w:r>
    </w:p>
    <w:p>
      <w:pPr>
        <w:pStyle w:val="4"/>
        <w:pageBreakBefore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auto"/>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fldChar w:fldCharType="begin"/>
    </w:r>
    <w:r>
      <w:instrText xml:space="preserve"> PAGE   \* MERGEFORMAT </w:instrText>
    </w:r>
    <w:r>
      <w:fldChar w:fldCharType="separate"/>
    </w:r>
    <w:r>
      <w:rPr>
        <w:lang w:val="zh-CN"/>
      </w:rPr>
      <w:t>4</w:t>
    </w:r>
    <w:r>
      <w:rPr>
        <w:lang w:val="zh-CN"/>
      </w:rPr>
      <w:fldChar w:fldCharType="end"/>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26436A"/>
    <w:multiLevelType w:val="singleLevel"/>
    <w:tmpl w:val="B826436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0"/>
  <w:drawingGridVerticalSpacing w:val="58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0OGVlMmYwMGMyZmQ5MmI5YWZkNzFlZjZlZDg2ZDQifQ=="/>
  </w:docVars>
  <w:rsids>
    <w:rsidRoot w:val="00172A27"/>
    <w:rsid w:val="000101E1"/>
    <w:rsid w:val="00017298"/>
    <w:rsid w:val="00020084"/>
    <w:rsid w:val="000329D9"/>
    <w:rsid w:val="000531CC"/>
    <w:rsid w:val="00070E1B"/>
    <w:rsid w:val="00071650"/>
    <w:rsid w:val="000732DA"/>
    <w:rsid w:val="00075CDC"/>
    <w:rsid w:val="000B1E8F"/>
    <w:rsid w:val="00103D16"/>
    <w:rsid w:val="00136702"/>
    <w:rsid w:val="0015455D"/>
    <w:rsid w:val="00164D84"/>
    <w:rsid w:val="00172A27"/>
    <w:rsid w:val="001A074E"/>
    <w:rsid w:val="001D628A"/>
    <w:rsid w:val="00214D0B"/>
    <w:rsid w:val="00250053"/>
    <w:rsid w:val="00276CCC"/>
    <w:rsid w:val="002840E4"/>
    <w:rsid w:val="002870F2"/>
    <w:rsid w:val="00287C3C"/>
    <w:rsid w:val="002D2726"/>
    <w:rsid w:val="002D655D"/>
    <w:rsid w:val="00306B82"/>
    <w:rsid w:val="00340729"/>
    <w:rsid w:val="00371982"/>
    <w:rsid w:val="0039432D"/>
    <w:rsid w:val="003C6374"/>
    <w:rsid w:val="00415F7C"/>
    <w:rsid w:val="004531B5"/>
    <w:rsid w:val="00473521"/>
    <w:rsid w:val="00503C12"/>
    <w:rsid w:val="00514233"/>
    <w:rsid w:val="00514DAF"/>
    <w:rsid w:val="00526C0B"/>
    <w:rsid w:val="00542C21"/>
    <w:rsid w:val="00560E3E"/>
    <w:rsid w:val="005E206B"/>
    <w:rsid w:val="006A5335"/>
    <w:rsid w:val="006B7A91"/>
    <w:rsid w:val="006C0467"/>
    <w:rsid w:val="006E12E4"/>
    <w:rsid w:val="006E6C21"/>
    <w:rsid w:val="0078598E"/>
    <w:rsid w:val="00785AF7"/>
    <w:rsid w:val="007A1DC2"/>
    <w:rsid w:val="007D7C3B"/>
    <w:rsid w:val="007E5702"/>
    <w:rsid w:val="007F24DB"/>
    <w:rsid w:val="00855B36"/>
    <w:rsid w:val="00865D06"/>
    <w:rsid w:val="008A20F2"/>
    <w:rsid w:val="008E0285"/>
    <w:rsid w:val="008E37C3"/>
    <w:rsid w:val="0091629A"/>
    <w:rsid w:val="00925289"/>
    <w:rsid w:val="00926D1C"/>
    <w:rsid w:val="0092756A"/>
    <w:rsid w:val="00955EF5"/>
    <w:rsid w:val="009B3FF6"/>
    <w:rsid w:val="00A92862"/>
    <w:rsid w:val="00AA2B82"/>
    <w:rsid w:val="00B13839"/>
    <w:rsid w:val="00B414D3"/>
    <w:rsid w:val="00B84D3A"/>
    <w:rsid w:val="00C43D79"/>
    <w:rsid w:val="00C7535D"/>
    <w:rsid w:val="00CC152C"/>
    <w:rsid w:val="00CE47D3"/>
    <w:rsid w:val="00CE55E9"/>
    <w:rsid w:val="00D06962"/>
    <w:rsid w:val="00D200DC"/>
    <w:rsid w:val="00D22A4C"/>
    <w:rsid w:val="00D25A29"/>
    <w:rsid w:val="00D61B1A"/>
    <w:rsid w:val="00D63908"/>
    <w:rsid w:val="00DA687E"/>
    <w:rsid w:val="00DB429F"/>
    <w:rsid w:val="00DD09A2"/>
    <w:rsid w:val="00DD16E3"/>
    <w:rsid w:val="00DF57C5"/>
    <w:rsid w:val="00DF66D4"/>
    <w:rsid w:val="00ED6D53"/>
    <w:rsid w:val="00F066B4"/>
    <w:rsid w:val="00F22AE2"/>
    <w:rsid w:val="00F437B4"/>
    <w:rsid w:val="00F57F82"/>
    <w:rsid w:val="00F75963"/>
    <w:rsid w:val="00FA357A"/>
    <w:rsid w:val="013B775D"/>
    <w:rsid w:val="020A78A2"/>
    <w:rsid w:val="02A903EA"/>
    <w:rsid w:val="02C86339"/>
    <w:rsid w:val="037D0BC8"/>
    <w:rsid w:val="04076DA7"/>
    <w:rsid w:val="0845082D"/>
    <w:rsid w:val="096A663E"/>
    <w:rsid w:val="098F3487"/>
    <w:rsid w:val="09E965F2"/>
    <w:rsid w:val="0A4A3A37"/>
    <w:rsid w:val="0A87714B"/>
    <w:rsid w:val="0CFF3D78"/>
    <w:rsid w:val="0E4E75C3"/>
    <w:rsid w:val="0FFFAAC1"/>
    <w:rsid w:val="10B30C26"/>
    <w:rsid w:val="11D7196B"/>
    <w:rsid w:val="12245A33"/>
    <w:rsid w:val="12CA3F9C"/>
    <w:rsid w:val="139840D3"/>
    <w:rsid w:val="141C0DC6"/>
    <w:rsid w:val="143E091F"/>
    <w:rsid w:val="14865FC8"/>
    <w:rsid w:val="150C2DB0"/>
    <w:rsid w:val="15D52C35"/>
    <w:rsid w:val="16A42574"/>
    <w:rsid w:val="17C05E32"/>
    <w:rsid w:val="18B50E20"/>
    <w:rsid w:val="18F83E24"/>
    <w:rsid w:val="1BA04AF9"/>
    <w:rsid w:val="1CE94882"/>
    <w:rsid w:val="1D3B6A93"/>
    <w:rsid w:val="1D664B30"/>
    <w:rsid w:val="1E761F05"/>
    <w:rsid w:val="1FC7205C"/>
    <w:rsid w:val="207A32D7"/>
    <w:rsid w:val="20BC6687"/>
    <w:rsid w:val="228B3D05"/>
    <w:rsid w:val="23AC7C9F"/>
    <w:rsid w:val="23EF2927"/>
    <w:rsid w:val="25FE8923"/>
    <w:rsid w:val="286D5E37"/>
    <w:rsid w:val="290723C2"/>
    <w:rsid w:val="29245155"/>
    <w:rsid w:val="2C5E0015"/>
    <w:rsid w:val="2D8B4B0D"/>
    <w:rsid w:val="2E876F4E"/>
    <w:rsid w:val="2F6A001E"/>
    <w:rsid w:val="2F6F4467"/>
    <w:rsid w:val="2FAD4FCA"/>
    <w:rsid w:val="31726C55"/>
    <w:rsid w:val="31C80FD1"/>
    <w:rsid w:val="32D317E2"/>
    <w:rsid w:val="33E86A4E"/>
    <w:rsid w:val="368D368C"/>
    <w:rsid w:val="38EF7AD8"/>
    <w:rsid w:val="3A0C0C54"/>
    <w:rsid w:val="3C5E2926"/>
    <w:rsid w:val="3C7019B2"/>
    <w:rsid w:val="3CC6453D"/>
    <w:rsid w:val="3D7E7C9E"/>
    <w:rsid w:val="3DBBD6B4"/>
    <w:rsid w:val="3E1672E6"/>
    <w:rsid w:val="3E2A3E86"/>
    <w:rsid w:val="3F2301EA"/>
    <w:rsid w:val="40EF7D69"/>
    <w:rsid w:val="415F08D8"/>
    <w:rsid w:val="41AE398F"/>
    <w:rsid w:val="41D40910"/>
    <w:rsid w:val="428C173D"/>
    <w:rsid w:val="42F07593"/>
    <w:rsid w:val="433B52D2"/>
    <w:rsid w:val="43690154"/>
    <w:rsid w:val="43E93326"/>
    <w:rsid w:val="4401549F"/>
    <w:rsid w:val="441867FA"/>
    <w:rsid w:val="44C635B7"/>
    <w:rsid w:val="44E2230F"/>
    <w:rsid w:val="46F9107C"/>
    <w:rsid w:val="4881717A"/>
    <w:rsid w:val="48B51347"/>
    <w:rsid w:val="4A1B2E89"/>
    <w:rsid w:val="4A55216A"/>
    <w:rsid w:val="4B0E65C7"/>
    <w:rsid w:val="4BFD2870"/>
    <w:rsid w:val="4C4F4283"/>
    <w:rsid w:val="4D4C56FF"/>
    <w:rsid w:val="4DC43E92"/>
    <w:rsid w:val="4FE0696A"/>
    <w:rsid w:val="50F76058"/>
    <w:rsid w:val="50FE6375"/>
    <w:rsid w:val="51FD19E1"/>
    <w:rsid w:val="53773584"/>
    <w:rsid w:val="53A64AB0"/>
    <w:rsid w:val="54796D48"/>
    <w:rsid w:val="55673508"/>
    <w:rsid w:val="563B3C13"/>
    <w:rsid w:val="56EF420F"/>
    <w:rsid w:val="57FCC004"/>
    <w:rsid w:val="59595A6F"/>
    <w:rsid w:val="599330CA"/>
    <w:rsid w:val="5ABA2F01"/>
    <w:rsid w:val="5B0D23FC"/>
    <w:rsid w:val="5DB076C2"/>
    <w:rsid w:val="5DD13342"/>
    <w:rsid w:val="5DEF3C61"/>
    <w:rsid w:val="5F4B1A41"/>
    <w:rsid w:val="5F76F0C1"/>
    <w:rsid w:val="600865E8"/>
    <w:rsid w:val="603B6C1D"/>
    <w:rsid w:val="60D5009F"/>
    <w:rsid w:val="615D20F3"/>
    <w:rsid w:val="61785DBC"/>
    <w:rsid w:val="61DA31FB"/>
    <w:rsid w:val="623C1213"/>
    <w:rsid w:val="6324384D"/>
    <w:rsid w:val="63995765"/>
    <w:rsid w:val="66024CD5"/>
    <w:rsid w:val="660721C9"/>
    <w:rsid w:val="661E6C75"/>
    <w:rsid w:val="672531E2"/>
    <w:rsid w:val="67F75FF5"/>
    <w:rsid w:val="681D4831"/>
    <w:rsid w:val="68334237"/>
    <w:rsid w:val="692E4B19"/>
    <w:rsid w:val="69513EF7"/>
    <w:rsid w:val="697D78BA"/>
    <w:rsid w:val="6AAF7917"/>
    <w:rsid w:val="6BF3256F"/>
    <w:rsid w:val="6CE7018A"/>
    <w:rsid w:val="6D08690D"/>
    <w:rsid w:val="6DA15568"/>
    <w:rsid w:val="6E070B53"/>
    <w:rsid w:val="6E3E3F2D"/>
    <w:rsid w:val="6EC93B62"/>
    <w:rsid w:val="70FD73D6"/>
    <w:rsid w:val="715B2F02"/>
    <w:rsid w:val="7251625A"/>
    <w:rsid w:val="72D558F8"/>
    <w:rsid w:val="7333231F"/>
    <w:rsid w:val="748C1146"/>
    <w:rsid w:val="75A62CFF"/>
    <w:rsid w:val="76A548F2"/>
    <w:rsid w:val="7765772E"/>
    <w:rsid w:val="77867685"/>
    <w:rsid w:val="77F04540"/>
    <w:rsid w:val="781F36B6"/>
    <w:rsid w:val="78ED5A1E"/>
    <w:rsid w:val="790627AD"/>
    <w:rsid w:val="7ADC59FA"/>
    <w:rsid w:val="7BB71159"/>
    <w:rsid w:val="7CD836C4"/>
    <w:rsid w:val="7D6742C1"/>
    <w:rsid w:val="7DBDD65E"/>
    <w:rsid w:val="7DC524D5"/>
    <w:rsid w:val="7DDD794F"/>
    <w:rsid w:val="7E170336"/>
    <w:rsid w:val="7E5A664C"/>
    <w:rsid w:val="7EF834F2"/>
    <w:rsid w:val="7FB26DFB"/>
    <w:rsid w:val="7FED9F9F"/>
    <w:rsid w:val="9FFF3766"/>
    <w:rsid w:val="B7F7950F"/>
    <w:rsid w:val="BECF1CFC"/>
    <w:rsid w:val="CADDA160"/>
    <w:rsid w:val="D7FBE5FA"/>
    <w:rsid w:val="DFDF27BD"/>
    <w:rsid w:val="F57B6F99"/>
    <w:rsid w:val="F7DFB8FF"/>
    <w:rsid w:val="FA7DCE76"/>
    <w:rsid w:val="FAEFC359"/>
    <w:rsid w:val="FB5ECFCA"/>
    <w:rsid w:val="FEAF114B"/>
    <w:rsid w:val="FEDC2866"/>
    <w:rsid w:val="FFC601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outlineLvl w:val="0"/>
    </w:pPr>
    <w:rPr>
      <w:rFonts w:ascii="仿宋_GB2312" w:hAnsi="Times New Roman" w:eastAsia="仿宋_GB2312" w:cs="Times New Roman"/>
      <w:kern w:val="2"/>
      <w:sz w:val="32"/>
      <w:szCs w:val="36"/>
      <w:lang w:val="en-US" w:eastAsia="zh-CN" w:bidi="ar-SA"/>
    </w:rPr>
  </w:style>
  <w:style w:type="paragraph" w:styleId="2">
    <w:name w:val="heading 1"/>
    <w:basedOn w:val="1"/>
    <w:next w:val="1"/>
    <w:qFormat/>
    <w:uiPriority w:val="0"/>
    <w:pPr>
      <w:keepNext/>
      <w:keepLines/>
      <w:ind w:firstLine="643"/>
    </w:pPr>
    <w:rPr>
      <w:rFonts w:ascii="黑体" w:hAnsi="黑体" w:eastAsia="黑体"/>
      <w:b/>
      <w:kern w:val="44"/>
      <w:szCs w:val="2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964"/>
    </w:pPr>
  </w:style>
  <w:style w:type="paragraph" w:styleId="5">
    <w:name w:val="Balloon Text"/>
    <w:basedOn w:val="1"/>
    <w:link w:val="13"/>
    <w:qFormat/>
    <w:uiPriority w:val="0"/>
    <w:rPr>
      <w:sz w:val="18"/>
      <w:szCs w:val="18"/>
    </w:rPr>
  </w:style>
  <w:style w:type="paragraph" w:styleId="6">
    <w:name w:val="footer"/>
    <w:basedOn w:val="1"/>
    <w:link w:val="11"/>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5"/>
    <w:qFormat/>
    <w:uiPriority w:val="0"/>
    <w:pPr>
      <w:spacing w:before="240" w:after="60"/>
      <w:jc w:val="center"/>
    </w:pPr>
    <w:rPr>
      <w:rFonts w:asciiTheme="majorHAnsi" w:hAnsiTheme="majorHAnsi" w:eastAsiaTheme="majorEastAsia" w:cstheme="majorBidi"/>
      <w:b/>
      <w:bCs/>
      <w:szCs w:val="32"/>
    </w:rPr>
  </w:style>
  <w:style w:type="character" w:customStyle="1" w:styleId="11">
    <w:name w:val="页脚 字符"/>
    <w:basedOn w:val="10"/>
    <w:link w:val="6"/>
    <w:qFormat/>
    <w:uiPriority w:val="99"/>
    <w:rPr>
      <w:rFonts w:eastAsia="仿宋_GB2312"/>
      <w:kern w:val="2"/>
      <w:sz w:val="18"/>
      <w:szCs w:val="18"/>
    </w:rPr>
  </w:style>
  <w:style w:type="character" w:customStyle="1" w:styleId="12">
    <w:name w:val="页眉 字符"/>
    <w:basedOn w:val="10"/>
    <w:link w:val="7"/>
    <w:qFormat/>
    <w:uiPriority w:val="0"/>
    <w:rPr>
      <w:rFonts w:eastAsia="仿宋_GB2312"/>
      <w:kern w:val="2"/>
      <w:sz w:val="18"/>
      <w:szCs w:val="18"/>
    </w:rPr>
  </w:style>
  <w:style w:type="character" w:customStyle="1" w:styleId="13">
    <w:name w:val="批注框文本 字符"/>
    <w:basedOn w:val="10"/>
    <w:link w:val="5"/>
    <w:qFormat/>
    <w:uiPriority w:val="0"/>
    <w:rPr>
      <w:rFonts w:eastAsia="仿宋_GB2312"/>
      <w:kern w:val="2"/>
      <w:sz w:val="18"/>
      <w:szCs w:val="18"/>
    </w:rPr>
  </w:style>
  <w:style w:type="paragraph" w:styleId="14">
    <w:name w:val="List Paragraph"/>
    <w:basedOn w:val="1"/>
    <w:qFormat/>
    <w:uiPriority w:val="99"/>
    <w:pPr>
      <w:ind w:firstLine="420"/>
    </w:pPr>
  </w:style>
  <w:style w:type="character" w:customStyle="1" w:styleId="15">
    <w:name w:val="标题 字符"/>
    <w:basedOn w:val="10"/>
    <w:link w:val="8"/>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1298</Words>
  <Characters>1393</Characters>
  <Lines>10</Lines>
  <Paragraphs>3</Paragraphs>
  <TotalTime>0</TotalTime>
  <ScaleCrop>false</ScaleCrop>
  <LinksUpToDate>false</LinksUpToDate>
  <CharactersWithSpaces>1402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2024-05-30T08:27:00Z</dcterms:created>
  <dc:creator>lhn</dc:creator>
  <cp:lastModifiedBy>Jimmy明</cp:lastModifiedBy>
  <cp:lastPrinted>2020-02-29T13:55:00Z</cp:lastPrinted>
  <dcterms:modified xsi:type="dcterms:W3CDTF">2024-06-14T08:42:47Z</dcterms:modified>
  <dc:title>财政支出绩效评价报告</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9C7F37F1586C49748334E6AA5A416882_13</vt:lpwstr>
  </property>
</Properties>
</file>