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p>
    <w:p>
      <w:pPr>
        <w:pStyle w:val="8"/>
        <w:pageBreakBefore w:val="0"/>
        <w:kinsoku/>
        <w:wordWrap/>
        <w:overflowPunct/>
        <w:topLinePunct w:val="0"/>
        <w:autoSpaceDE/>
        <w:autoSpaceDN/>
        <w:bidi w:val="0"/>
        <w:adjustRightInd/>
        <w:snapToGrid/>
        <w:spacing w:before="0" w:after="0"/>
        <w:ind w:firstLine="0" w:firstLineChars="0"/>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云龙至红旗镇供水管道工程项目</w:t>
      </w:r>
    </w:p>
    <w:p>
      <w:pPr>
        <w:pStyle w:val="8"/>
        <w:pageBreakBefore w:val="0"/>
        <w:kinsoku/>
        <w:wordWrap/>
        <w:overflowPunct/>
        <w:topLinePunct w:val="0"/>
        <w:autoSpaceDE/>
        <w:autoSpaceDN/>
        <w:bidi w:val="0"/>
        <w:adjustRightInd/>
        <w:snapToGrid/>
        <w:spacing w:before="0" w:after="0"/>
        <w:ind w:firstLine="0" w:firstLineChars="0"/>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2023年度绩效自评报告</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一、基本情况</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（一）项目概况。</w:t>
      </w:r>
    </w:p>
    <w:p>
      <w:pPr>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项目位于</w:t>
      </w:r>
      <w:r>
        <w:rPr>
          <w:rFonts w:hint="eastAsia" w:ascii="仿宋_GB2312" w:hAnsi="仿宋_GB2312" w:eastAsia="仿宋_GB2312" w:cs="仿宋_GB2312"/>
          <w:color w:val="000000" w:themeColor="text1"/>
          <w:sz w:val="32"/>
          <w:szCs w:val="32"/>
          <w14:textFill>
            <w14:solidFill>
              <w14:schemeClr w14:val="tx1"/>
            </w14:solidFill>
          </w14:textFill>
        </w:rPr>
        <w:t>海口市琼山区云龙镇及红旗镇，主要建设内容为管道工程、土建工程、安装工程。起点与海榆东线和横五路交口的现状DN600给水管道衔接,沿海榆东线敷设管DN300-DN600的给水干管至终点红旗镇合群村,沿云定路敷设管径DN300的给水干管,总长度约14km；中间建设加压泵站(无负压供水设备)，最高日规模为1.25万吨/天。</w:t>
      </w:r>
    </w:p>
    <w:p>
      <w:pPr>
        <w:pageBreakBefore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总投资：该项目概算总投资</w:t>
      </w:r>
      <w:r>
        <w:rPr>
          <w:rFonts w:hint="eastAsia" w:ascii="仿宋_GB2312" w:hAnsi="仿宋_GB2312" w:eastAsia="仿宋_GB2312" w:cs="仿宋_GB2312"/>
          <w:color w:val="000000" w:themeColor="text1"/>
          <w:sz w:val="32"/>
          <w:szCs w:val="32"/>
          <w14:textFill>
            <w14:solidFill>
              <w14:schemeClr w14:val="tx1"/>
            </w14:solidFill>
          </w14:textFill>
        </w:rPr>
        <w:t>4444.15</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元，其中工程费为</w:t>
      </w:r>
      <w:r>
        <w:rPr>
          <w:rFonts w:hint="eastAsia" w:ascii="仿宋_GB2312" w:hAnsi="仿宋_GB2312" w:eastAsia="仿宋_GB2312" w:cs="仿宋_GB2312"/>
          <w:color w:val="000000" w:themeColor="text1"/>
          <w:sz w:val="32"/>
          <w:szCs w:val="32"/>
          <w14:textFill>
            <w14:solidFill>
              <w14:schemeClr w14:val="tx1"/>
            </w14:solidFill>
          </w14:textFill>
        </w:rPr>
        <w:t>3495.03</w:t>
      </w:r>
      <w:r>
        <w:rPr>
          <w:rFonts w:hint="eastAsia" w:ascii="仿宋_GB2312" w:hAnsi="仿宋_GB2312" w:eastAsia="仿宋_GB2312" w:cs="仿宋_GB2312"/>
          <w:color w:val="000000" w:themeColor="text1"/>
          <w:sz w:val="32"/>
          <w:szCs w:val="32"/>
          <w14:textFill>
            <w14:solidFill>
              <w14:schemeClr w14:val="tx1"/>
            </w14:solidFill>
          </w14:textFill>
        </w:rPr>
        <w:t>万元，工程建设其他费</w:t>
      </w:r>
      <w:r>
        <w:rPr>
          <w:rFonts w:hint="eastAsia" w:ascii="仿宋_GB2312" w:hAnsi="仿宋_GB2312" w:eastAsia="仿宋_GB2312" w:cs="仿宋_GB2312"/>
          <w:color w:val="000000" w:themeColor="text1"/>
          <w:sz w:val="32"/>
          <w:szCs w:val="32"/>
          <w14:textFill>
            <w14:solidFill>
              <w14:schemeClr w14:val="tx1"/>
            </w14:solidFill>
          </w14:textFill>
        </w:rPr>
        <w:t>317.56</w:t>
      </w:r>
      <w:r>
        <w:rPr>
          <w:rFonts w:hint="eastAsia" w:ascii="仿宋_GB2312" w:hAnsi="仿宋_GB2312" w:eastAsia="仿宋_GB2312" w:cs="仿宋_GB2312"/>
          <w:color w:val="000000" w:themeColor="text1"/>
          <w:sz w:val="32"/>
          <w:szCs w:val="32"/>
          <w14:textFill>
            <w14:solidFill>
              <w14:schemeClr w14:val="tx1"/>
            </w14:solidFill>
          </w14:textFill>
        </w:rPr>
        <w:t>万元，预备费</w:t>
      </w:r>
      <w:r>
        <w:rPr>
          <w:rFonts w:hint="eastAsia" w:ascii="仿宋_GB2312" w:hAnsi="仿宋_GB2312" w:eastAsia="仿宋_GB2312" w:cs="仿宋_GB2312"/>
          <w:color w:val="000000" w:themeColor="text1"/>
          <w:sz w:val="32"/>
          <w:szCs w:val="32"/>
          <w14:textFill>
            <w14:solidFill>
              <w14:schemeClr w14:val="tx1"/>
            </w14:solidFill>
          </w14:textFill>
        </w:rPr>
        <w:t>190.63</w:t>
      </w:r>
      <w:r>
        <w:rPr>
          <w:rFonts w:hint="eastAsia" w:ascii="仿宋_GB2312" w:hAnsi="仿宋_GB2312" w:eastAsia="仿宋_GB2312" w:cs="仿宋_GB2312"/>
          <w:color w:val="000000" w:themeColor="text1"/>
          <w:sz w:val="32"/>
          <w:szCs w:val="32"/>
          <w14:textFill>
            <w14:solidFill>
              <w14:schemeClr w14:val="tx1"/>
            </w14:solidFill>
          </w14:textFill>
        </w:rPr>
        <w:t>万元，建设单位管理费65.05万元，土地征用及迁移补偿费约为375.88万元。</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（二）项目资金情况。</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该项目2023年共到位资金1000万元，其中2023年地债资金1000万元，已全部使用完毕。</w:t>
      </w:r>
    </w:p>
    <w:p>
      <w:pPr>
        <w:pStyle w:val="2"/>
        <w:pageBreakBefore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二、绩效目标完成情况分析</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（一）资金情况分析。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w:t>
      </w:r>
      <w:bookmarkStart w:id="0" w:name="_Hlk167981178"/>
      <w:r>
        <w:rPr>
          <w:rFonts w:hint="eastAsia" w:ascii="仿宋_GB2312" w:hAnsi="仿宋_GB2312" w:eastAsia="仿宋_GB2312" w:cs="仿宋_GB2312"/>
          <w:sz w:val="32"/>
          <w:szCs w:val="32"/>
        </w:rPr>
        <w:t>2023年共到位资金1000万元</w:t>
      </w:r>
      <w:bookmarkEnd w:id="0"/>
      <w:r>
        <w:rPr>
          <w:rFonts w:hint="eastAsia" w:ascii="仿宋_GB2312" w:hAnsi="仿宋_GB2312" w:eastAsia="仿宋_GB2312" w:cs="仿宋_GB2312"/>
          <w:sz w:val="32"/>
          <w:szCs w:val="32"/>
        </w:rPr>
        <w:t>，其中2023年地债资金1000万元。在项目资金使用上，业主单位严格执行政府投资项目和资金管理办法，严格落实资金审批程序，加快资金拨付，全面保障项目建设资金用款需要。</w:t>
      </w:r>
    </w:p>
    <w:p>
      <w:pPr>
        <w:pStyle w:val="2"/>
        <w:pageBreakBefore w:val="0"/>
        <w:numPr>
          <w:ilvl w:val="0"/>
          <w:numId w:val="1"/>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总体目标完成情况分析。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项目年度目标为：</w:t>
      </w:r>
      <w:r>
        <w:rPr>
          <w:rFonts w:hint="eastAsia" w:ascii="仿宋_GB2312" w:hAnsi="仿宋_GB2312" w:eastAsia="仿宋_GB2312" w:cs="仿宋_GB2312"/>
          <w:sz w:val="32"/>
          <w:szCs w:val="32"/>
        </w:rPr>
        <w:t>项目2023年的施工计划是施工单位完成主管道及加压泵站的建设任务。</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项目年度完成情况：</w:t>
      </w:r>
      <w:r>
        <w:rPr>
          <w:rFonts w:hint="eastAsia" w:ascii="仿宋_GB2312" w:hAnsi="仿宋_GB2312" w:eastAsia="仿宋_GB2312" w:cs="仿宋_GB2312"/>
          <w:sz w:val="32"/>
          <w:szCs w:val="32"/>
        </w:rPr>
        <w:t>项目2023年底已完成施工单位进主管道及加压泵站建设工作。已完成年度目标。</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（三）绩效指标完成情况分析。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w:t>
      </w:r>
    </w:p>
    <w:p>
      <w:pPr>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（1）获得可研、概算批复数量：   </w:t>
      </w:r>
    </w:p>
    <w:p>
      <w:pPr>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目标：=2项</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完成情况：完成可研及概算的批复</w:t>
      </w:r>
      <w:r>
        <w:rPr>
          <w:rFonts w:hint="eastAsia" w:ascii="仿宋_GB2312" w:hAnsi="仿宋_GB2312" w:eastAsia="仿宋_GB2312" w:cs="仿宋_GB2312"/>
          <w:sz w:val="32"/>
          <w:szCs w:val="32"/>
        </w:rPr>
        <w:t>。完成目标绩效。</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（2）超概算比例：</w:t>
      </w:r>
    </w:p>
    <w:p>
      <w:pPr>
        <w:pStyle w:val="4"/>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目标：≤5%</w:t>
      </w:r>
    </w:p>
    <w:p>
      <w:pPr>
        <w:pStyle w:val="4"/>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完成情况：未超出概算批复。</w:t>
      </w:r>
      <w:r>
        <w:rPr>
          <w:rFonts w:hint="eastAsia" w:ascii="仿宋_GB2312" w:hAnsi="仿宋_GB2312" w:eastAsia="仿宋_GB2312" w:cs="仿宋_GB2312"/>
          <w:sz w:val="32"/>
          <w:szCs w:val="32"/>
        </w:rPr>
        <w:t>完成目标绩效。</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目标：项目受益人数≥200人。</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完成情况：项目周边群众收益，受益人数已超200人。</w:t>
      </w:r>
      <w:r>
        <w:rPr>
          <w:rFonts w:hint="eastAsia" w:ascii="仿宋_GB2312" w:hAnsi="仿宋_GB2312" w:eastAsia="仿宋_GB2312" w:cs="仿宋_GB2312"/>
          <w:sz w:val="32"/>
          <w:szCs w:val="32"/>
        </w:rPr>
        <w:t>完成目标绩效</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目标：受益群体满意度≥90%</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完成情况：未发现受益群众不满意情况。</w:t>
      </w:r>
      <w:r>
        <w:rPr>
          <w:rFonts w:hint="eastAsia" w:ascii="仿宋_GB2312" w:hAnsi="仿宋_GB2312" w:eastAsia="仿宋_GB2312" w:cs="仿宋_GB2312"/>
          <w:sz w:val="32"/>
          <w:szCs w:val="32"/>
        </w:rPr>
        <w:t>完成目标绩效</w:t>
      </w:r>
      <w:r>
        <w:rPr>
          <w:rFonts w:hint="eastAsia" w:ascii="仿宋_GB2312" w:hAnsi="仿宋_GB2312" w:eastAsia="仿宋_GB2312" w:cs="仿宋_GB2312"/>
          <w:sz w:val="32"/>
          <w:szCs w:val="32"/>
        </w:rPr>
        <w:t>。</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（四）整体绩效自评。</w:t>
      </w:r>
    </w:p>
    <w:p>
      <w:pPr>
        <w:pStyle w:val="8"/>
        <w:pageBreakBefore w:val="0"/>
        <w:kinsoku/>
        <w:wordWrap/>
        <w:overflowPunct/>
        <w:topLinePunct w:val="0"/>
        <w:autoSpaceDE/>
        <w:autoSpaceDN/>
        <w:bidi w:val="0"/>
        <w:adjustRightInd/>
        <w:snapToGrid/>
        <w:spacing w:before="0" w:after="0"/>
        <w:ind w:firstLine="0" w:firstLineChars="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val="0"/>
          <w:sz w:val="32"/>
          <w:szCs w:val="32"/>
          <w:lang w:bidi="ar"/>
        </w:rPr>
        <w:t xml:space="preserve">      </w:t>
      </w:r>
      <w:r>
        <w:rPr>
          <w:rFonts w:hint="eastAsia" w:ascii="仿宋_GB2312" w:hAnsi="仿宋_GB2312" w:eastAsia="仿宋_GB2312" w:cs="仿宋_GB2312"/>
          <w:b w:val="0"/>
          <w:bCs w:val="0"/>
          <w:sz w:val="32"/>
          <w:szCs w:val="32"/>
          <w:lang w:bidi="ar"/>
        </w:rPr>
        <w:t>该年度云龙至红旗镇供水管道工程项目整体效益目标已按时完成，绩效自评分数97分，自评等级优。</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三、发现的主要问题和改进措施</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四、绩效自评结果拟应用和公开情况</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拟将绩效自评结果用于后续对于建设、施工等单位的履职尽责以及专业胜任能力的考核，可作为后续相关合作的考虑因素。</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五、绩效自评工作开展情况</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color w:val="191919"/>
          <w:sz w:val="32"/>
          <w:szCs w:val="32"/>
          <w:shd w:val="clear" w:color="auto" w:fill="FFFFFF"/>
        </w:rPr>
      </w:pPr>
      <w:r>
        <w:rPr>
          <w:rFonts w:hint="eastAsia" w:ascii="仿宋_GB2312" w:hAnsi="仿宋_GB2312" w:eastAsia="仿宋_GB2312" w:cs="仿宋_GB2312"/>
          <w:color w:val="191919"/>
          <w:sz w:val="32"/>
          <w:szCs w:val="32"/>
          <w:shd w:val="clear" w:color="auto" w:fill="FFFFFF"/>
        </w:rPr>
        <w:t>根据</w:t>
      </w:r>
      <w:r>
        <w:rPr>
          <w:rFonts w:hint="eastAsia" w:ascii="仿宋_GB2312" w:hAnsi="仿宋_GB2312" w:eastAsia="仿宋_GB2312" w:cs="仿宋_GB2312"/>
          <w:color w:val="191919"/>
          <w:sz w:val="32"/>
          <w:szCs w:val="32"/>
          <w:shd w:val="clear" w:color="auto" w:fill="FFFFFF"/>
        </w:rPr>
        <w:t>《中共中央国务院关于全面实施预算绩效管理的意见》，</w:t>
      </w:r>
      <w:r>
        <w:rPr>
          <w:rFonts w:hint="eastAsia" w:ascii="仿宋_GB2312" w:hAnsi="仿宋_GB2312" w:eastAsia="仿宋_GB2312" w:cs="仿宋_GB2312"/>
          <w:color w:val="191919"/>
          <w:sz w:val="32"/>
          <w:szCs w:val="32"/>
          <w:shd w:val="clear" w:color="auto" w:fill="FFFFFF"/>
        </w:rPr>
        <w:t>我单位</w:t>
      </w:r>
      <w:r>
        <w:rPr>
          <w:rFonts w:hint="eastAsia" w:ascii="仿宋_GB2312" w:hAnsi="仿宋_GB2312" w:eastAsia="仿宋_GB2312" w:cs="仿宋_GB2312"/>
          <w:color w:val="191919"/>
          <w:sz w:val="32"/>
          <w:szCs w:val="32"/>
          <w:shd w:val="clear" w:color="auto" w:fill="FFFFFF"/>
        </w:rPr>
        <w:t>以全面实施预算绩效管理为关键点和突破口，推动财政资金聚力增效，提高公共服务供给质量，增强政府公信力和执行力。</w:t>
      </w:r>
      <w:r>
        <w:rPr>
          <w:rFonts w:hint="eastAsia" w:ascii="仿宋_GB2312" w:hAnsi="仿宋_GB2312" w:eastAsia="仿宋_GB2312" w:cs="仿宋_GB2312"/>
          <w:color w:val="191919"/>
          <w:sz w:val="32"/>
          <w:szCs w:val="32"/>
          <w:shd w:val="clear" w:color="auto" w:fill="FFFFFF"/>
        </w:rPr>
        <w:t>按照“预算花钱必问效”的原则，我单位持续对政府投资项目，尤其是获得中央资金的项目开展绩效自评工作，</w:t>
      </w:r>
      <w:r>
        <w:rPr>
          <w:rFonts w:hint="eastAsia" w:ascii="仿宋_GB2312" w:hAnsi="仿宋_GB2312" w:eastAsia="仿宋_GB2312" w:cs="仿宋_GB2312"/>
          <w:color w:val="191919"/>
          <w:sz w:val="32"/>
          <w:szCs w:val="32"/>
          <w:shd w:val="clear" w:color="auto" w:fill="FFFFFF"/>
        </w:rPr>
        <w:t>强化绩效目标管理，做好绩效运行监控，并开展绩效评价和结果应用</w:t>
      </w:r>
      <w:r>
        <w:rPr>
          <w:rFonts w:hint="eastAsia" w:ascii="仿宋_GB2312" w:hAnsi="仿宋_GB2312" w:eastAsia="仿宋_GB2312" w:cs="仿宋_GB2312"/>
          <w:color w:val="191919"/>
          <w:sz w:val="32"/>
          <w:szCs w:val="32"/>
          <w:shd w:val="clear" w:color="auto" w:fill="FFFFFF"/>
        </w:rPr>
        <w:t>。</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六、偿债资金来源</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本项目的还本付息收入来源包括土地出让收益。</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本项目专项债券</w:t>
      </w:r>
      <w:bookmarkStart w:id="1" w:name="_GoBack"/>
      <w:bookmarkEnd w:id="1"/>
      <w:r>
        <w:rPr>
          <w:rFonts w:hint="eastAsia" w:ascii="仿宋_GB2312" w:hAnsi="仿宋_GB2312" w:eastAsia="仿宋_GB2312" w:cs="仿宋_GB2312"/>
          <w:sz w:val="32"/>
          <w:szCs w:val="32"/>
        </w:rPr>
        <w:t>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七、融资与项目收益平衡等反映偿债能力、偿债风险的指标</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影响本项目融资平衡最大的风险在于对未来经营预测、项目进度以及项目整体现金流测算等重要环节出现判断偏差。经营预测偏大或偏小直接导致投资总额设计偏大或偏小;对项目进度错判将导致融资节奏错乱，导致资金不能及时足额注入到项目或者大额资金不能充分运用的后果;整体现金流测算出现偏差将导致项目可行性分析不能及时纠偏，项目资金投入和现金流入不能平衡的结果。</w:t>
      </w:r>
    </w:p>
    <w:p>
      <w:pPr>
        <w:pStyle w:val="2"/>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八、其他需要说明的问题</w:t>
      </w: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暂无。</w:t>
      </w:r>
    </w:p>
    <w:p>
      <w:pPr>
        <w:pStyle w:val="4"/>
        <w:pageBreakBefore w:val="0"/>
        <w:kinsoku/>
        <w:wordWrap/>
        <w:overflowPunct/>
        <w:topLinePunct w:val="0"/>
        <w:autoSpaceDE/>
        <w:autoSpaceDN/>
        <w:bidi w:val="0"/>
        <w:adjustRightInd/>
        <w:snapToGrid/>
        <w:ind w:firstLine="640"/>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fldChar w:fldCharType="begin"/>
    </w:r>
    <w:r>
      <w:instrText xml:space="preserve"> PAGE   \* MERGEFORMAT </w:instrText>
    </w:r>
    <w:r>
      <w:fldChar w:fldCharType="separate"/>
    </w:r>
    <w:r>
      <w:rPr>
        <w:lang w:val="zh-CN"/>
      </w:rPr>
      <w:t>4</w:t>
    </w:r>
    <w:r>
      <w:rPr>
        <w:lang w:val="zh-CN"/>
      </w:rP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6436A"/>
    <w:multiLevelType w:val="singleLevel"/>
    <w:tmpl w:val="B82643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5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ZWEyNWU0NDg4ZGMwMTMwNjYwODNkZGI2Njc0OWQifQ=="/>
  </w:docVars>
  <w:rsids>
    <w:rsidRoot w:val="00172A27"/>
    <w:rsid w:val="000101E1"/>
    <w:rsid w:val="00017298"/>
    <w:rsid w:val="00020084"/>
    <w:rsid w:val="000329D9"/>
    <w:rsid w:val="000531CC"/>
    <w:rsid w:val="00070E1B"/>
    <w:rsid w:val="00071650"/>
    <w:rsid w:val="000732DA"/>
    <w:rsid w:val="00075CDC"/>
    <w:rsid w:val="000B1E8F"/>
    <w:rsid w:val="00103D16"/>
    <w:rsid w:val="00136702"/>
    <w:rsid w:val="0015455D"/>
    <w:rsid w:val="00164D84"/>
    <w:rsid w:val="00172A27"/>
    <w:rsid w:val="001A074E"/>
    <w:rsid w:val="001D628A"/>
    <w:rsid w:val="00214D0B"/>
    <w:rsid w:val="00250053"/>
    <w:rsid w:val="00276CCC"/>
    <w:rsid w:val="002840E4"/>
    <w:rsid w:val="002870F2"/>
    <w:rsid w:val="00287C3C"/>
    <w:rsid w:val="002D2726"/>
    <w:rsid w:val="002D655D"/>
    <w:rsid w:val="00306B82"/>
    <w:rsid w:val="00340729"/>
    <w:rsid w:val="00371982"/>
    <w:rsid w:val="0039432D"/>
    <w:rsid w:val="003C6374"/>
    <w:rsid w:val="00415F7C"/>
    <w:rsid w:val="004531B5"/>
    <w:rsid w:val="00473521"/>
    <w:rsid w:val="00503C12"/>
    <w:rsid w:val="00514233"/>
    <w:rsid w:val="00514DAF"/>
    <w:rsid w:val="00526C0B"/>
    <w:rsid w:val="00542C21"/>
    <w:rsid w:val="00560E3E"/>
    <w:rsid w:val="005E206B"/>
    <w:rsid w:val="006A5335"/>
    <w:rsid w:val="006B7A91"/>
    <w:rsid w:val="006C0467"/>
    <w:rsid w:val="006E12E4"/>
    <w:rsid w:val="006E6C21"/>
    <w:rsid w:val="0078598E"/>
    <w:rsid w:val="00785AF7"/>
    <w:rsid w:val="007A1DC2"/>
    <w:rsid w:val="007D7C3B"/>
    <w:rsid w:val="007E5702"/>
    <w:rsid w:val="007F24DB"/>
    <w:rsid w:val="00855B36"/>
    <w:rsid w:val="00865D06"/>
    <w:rsid w:val="008A20F2"/>
    <w:rsid w:val="008E0285"/>
    <w:rsid w:val="008E37C3"/>
    <w:rsid w:val="0091629A"/>
    <w:rsid w:val="00925289"/>
    <w:rsid w:val="00926D1C"/>
    <w:rsid w:val="0092756A"/>
    <w:rsid w:val="00955EF5"/>
    <w:rsid w:val="009B3FF6"/>
    <w:rsid w:val="00A92862"/>
    <w:rsid w:val="00AA2B82"/>
    <w:rsid w:val="00B13839"/>
    <w:rsid w:val="00B414D3"/>
    <w:rsid w:val="00B84D3A"/>
    <w:rsid w:val="00C43D79"/>
    <w:rsid w:val="00C7535D"/>
    <w:rsid w:val="00CC152C"/>
    <w:rsid w:val="00CE47D3"/>
    <w:rsid w:val="00CE55E9"/>
    <w:rsid w:val="00D06962"/>
    <w:rsid w:val="00D200DC"/>
    <w:rsid w:val="00D22A4C"/>
    <w:rsid w:val="00D25A29"/>
    <w:rsid w:val="00D61B1A"/>
    <w:rsid w:val="00D63908"/>
    <w:rsid w:val="00DA687E"/>
    <w:rsid w:val="00DB429F"/>
    <w:rsid w:val="00DD09A2"/>
    <w:rsid w:val="00DD16E3"/>
    <w:rsid w:val="00DF57C5"/>
    <w:rsid w:val="00DF66D4"/>
    <w:rsid w:val="00ED6D53"/>
    <w:rsid w:val="00F066B4"/>
    <w:rsid w:val="00F22AE2"/>
    <w:rsid w:val="00F437B4"/>
    <w:rsid w:val="00F57F82"/>
    <w:rsid w:val="00F75963"/>
    <w:rsid w:val="00FA357A"/>
    <w:rsid w:val="013B775D"/>
    <w:rsid w:val="020A78A2"/>
    <w:rsid w:val="02C86339"/>
    <w:rsid w:val="037D0BC8"/>
    <w:rsid w:val="04076DA7"/>
    <w:rsid w:val="0845082D"/>
    <w:rsid w:val="096A663E"/>
    <w:rsid w:val="09E965F2"/>
    <w:rsid w:val="0A4A3A37"/>
    <w:rsid w:val="0A87714B"/>
    <w:rsid w:val="0E4E75C3"/>
    <w:rsid w:val="0FFFAAC1"/>
    <w:rsid w:val="10B30C26"/>
    <w:rsid w:val="11D7196B"/>
    <w:rsid w:val="12245A33"/>
    <w:rsid w:val="12CA3F9C"/>
    <w:rsid w:val="139840D3"/>
    <w:rsid w:val="141C0DC6"/>
    <w:rsid w:val="143E091F"/>
    <w:rsid w:val="14865FC8"/>
    <w:rsid w:val="150C2DB0"/>
    <w:rsid w:val="15D52C35"/>
    <w:rsid w:val="16A42574"/>
    <w:rsid w:val="17C05E32"/>
    <w:rsid w:val="18B50E20"/>
    <w:rsid w:val="18F83E24"/>
    <w:rsid w:val="1BA04AF9"/>
    <w:rsid w:val="1CE94882"/>
    <w:rsid w:val="1D3B6A93"/>
    <w:rsid w:val="1D664B30"/>
    <w:rsid w:val="1E761F05"/>
    <w:rsid w:val="1FC7205C"/>
    <w:rsid w:val="207A32D7"/>
    <w:rsid w:val="228B3D05"/>
    <w:rsid w:val="23AC7C9F"/>
    <w:rsid w:val="25FE8923"/>
    <w:rsid w:val="286D5E37"/>
    <w:rsid w:val="29245155"/>
    <w:rsid w:val="2C5E0015"/>
    <w:rsid w:val="2D8B4B0D"/>
    <w:rsid w:val="2E876F4E"/>
    <w:rsid w:val="2F6A001E"/>
    <w:rsid w:val="2F6F4467"/>
    <w:rsid w:val="2FAD4FCA"/>
    <w:rsid w:val="31726C55"/>
    <w:rsid w:val="31C80FD1"/>
    <w:rsid w:val="32D317E2"/>
    <w:rsid w:val="33E86A4E"/>
    <w:rsid w:val="368D368C"/>
    <w:rsid w:val="38EF7AD8"/>
    <w:rsid w:val="3A0C0C54"/>
    <w:rsid w:val="3C5E2926"/>
    <w:rsid w:val="3C7019B2"/>
    <w:rsid w:val="3D7E7C9E"/>
    <w:rsid w:val="3DBBD6B4"/>
    <w:rsid w:val="3E1672E6"/>
    <w:rsid w:val="3E2A3E86"/>
    <w:rsid w:val="3F2301EA"/>
    <w:rsid w:val="40EF7D69"/>
    <w:rsid w:val="415F08D8"/>
    <w:rsid w:val="41AE398F"/>
    <w:rsid w:val="41D40910"/>
    <w:rsid w:val="428C173D"/>
    <w:rsid w:val="42F07593"/>
    <w:rsid w:val="433B52D2"/>
    <w:rsid w:val="43690154"/>
    <w:rsid w:val="43E93326"/>
    <w:rsid w:val="441867FA"/>
    <w:rsid w:val="44C635B7"/>
    <w:rsid w:val="44E2230F"/>
    <w:rsid w:val="46F9107C"/>
    <w:rsid w:val="4881717A"/>
    <w:rsid w:val="48B51347"/>
    <w:rsid w:val="4A1B2E89"/>
    <w:rsid w:val="4A55216A"/>
    <w:rsid w:val="4B0E65C7"/>
    <w:rsid w:val="4BFD2870"/>
    <w:rsid w:val="4C4F4283"/>
    <w:rsid w:val="4D4C56FF"/>
    <w:rsid w:val="4DC43E92"/>
    <w:rsid w:val="4FE0696A"/>
    <w:rsid w:val="50F76058"/>
    <w:rsid w:val="50FE6375"/>
    <w:rsid w:val="51FD19E1"/>
    <w:rsid w:val="53773584"/>
    <w:rsid w:val="54796D48"/>
    <w:rsid w:val="55673508"/>
    <w:rsid w:val="563B3C13"/>
    <w:rsid w:val="56EF420F"/>
    <w:rsid w:val="57FCC004"/>
    <w:rsid w:val="59595A6F"/>
    <w:rsid w:val="599330CA"/>
    <w:rsid w:val="5ABA2F01"/>
    <w:rsid w:val="5B0D23FC"/>
    <w:rsid w:val="5DB076C2"/>
    <w:rsid w:val="5F4B1A41"/>
    <w:rsid w:val="5F76F0C1"/>
    <w:rsid w:val="600865E8"/>
    <w:rsid w:val="603B6C1D"/>
    <w:rsid w:val="60D5009F"/>
    <w:rsid w:val="615D20F3"/>
    <w:rsid w:val="61DA31FB"/>
    <w:rsid w:val="623C1213"/>
    <w:rsid w:val="6324384D"/>
    <w:rsid w:val="63995765"/>
    <w:rsid w:val="66024CD5"/>
    <w:rsid w:val="660721C9"/>
    <w:rsid w:val="661E6C75"/>
    <w:rsid w:val="67F75FF5"/>
    <w:rsid w:val="681D4831"/>
    <w:rsid w:val="68334237"/>
    <w:rsid w:val="692E4B19"/>
    <w:rsid w:val="69513EF7"/>
    <w:rsid w:val="697D78BA"/>
    <w:rsid w:val="6AAF7917"/>
    <w:rsid w:val="6BF3256F"/>
    <w:rsid w:val="6CE7018A"/>
    <w:rsid w:val="6D08690D"/>
    <w:rsid w:val="6DA15568"/>
    <w:rsid w:val="6E070B53"/>
    <w:rsid w:val="6E3E3F2D"/>
    <w:rsid w:val="6EC93B62"/>
    <w:rsid w:val="70FD73D6"/>
    <w:rsid w:val="715B2F02"/>
    <w:rsid w:val="7251625A"/>
    <w:rsid w:val="72D558F8"/>
    <w:rsid w:val="7333231F"/>
    <w:rsid w:val="748C1146"/>
    <w:rsid w:val="75A62CFF"/>
    <w:rsid w:val="76A548F2"/>
    <w:rsid w:val="7765772E"/>
    <w:rsid w:val="77867685"/>
    <w:rsid w:val="77F04540"/>
    <w:rsid w:val="781F36B6"/>
    <w:rsid w:val="78ED5A1E"/>
    <w:rsid w:val="790627AD"/>
    <w:rsid w:val="7ADC59FA"/>
    <w:rsid w:val="7BB71159"/>
    <w:rsid w:val="7CD836C4"/>
    <w:rsid w:val="7D6742C1"/>
    <w:rsid w:val="7DBDD65E"/>
    <w:rsid w:val="7DC524D5"/>
    <w:rsid w:val="7DDD794F"/>
    <w:rsid w:val="7E5A664C"/>
    <w:rsid w:val="7EF834F2"/>
    <w:rsid w:val="7FB26DFB"/>
    <w:rsid w:val="7FED9F9F"/>
    <w:rsid w:val="9FFF3766"/>
    <w:rsid w:val="B7F7950F"/>
    <w:rsid w:val="BECF1CFC"/>
    <w:rsid w:val="CADDA160"/>
    <w:rsid w:val="D7FBE5FA"/>
    <w:rsid w:val="DFDF27BD"/>
    <w:rsid w:val="F57B6F99"/>
    <w:rsid w:val="F7DFB8FF"/>
    <w:rsid w:val="FA7DCE76"/>
    <w:rsid w:val="FAEFC359"/>
    <w:rsid w:val="FB5ECFCA"/>
    <w:rsid w:val="FEAF114B"/>
    <w:rsid w:val="FEDC2866"/>
    <w:rsid w:val="FFC60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outlineLvl w:val="0"/>
    </w:pPr>
    <w:rPr>
      <w:rFonts w:ascii="仿宋_GB2312" w:hAnsi="Times New Roman" w:eastAsia="仿宋_GB2312" w:cs="Times New Roman"/>
      <w:kern w:val="2"/>
      <w:sz w:val="32"/>
      <w:szCs w:val="36"/>
      <w:lang w:val="en-US" w:eastAsia="zh-CN" w:bidi="ar-SA"/>
    </w:rPr>
  </w:style>
  <w:style w:type="paragraph" w:styleId="2">
    <w:name w:val="heading 1"/>
    <w:basedOn w:val="1"/>
    <w:next w:val="1"/>
    <w:qFormat/>
    <w:uiPriority w:val="0"/>
    <w:pPr>
      <w:keepNext/>
      <w:keepLines/>
      <w:ind w:firstLine="643"/>
    </w:pPr>
    <w:rPr>
      <w:rFonts w:ascii="黑体" w:hAnsi="黑体" w:eastAsia="黑体"/>
      <w:b/>
      <w:kern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964"/>
    </w:pPr>
  </w:style>
  <w:style w:type="paragraph" w:styleId="5">
    <w:name w:val="Balloon Text"/>
    <w:basedOn w:val="1"/>
    <w:link w:val="13"/>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0"/>
    <w:pPr>
      <w:spacing w:before="240" w:after="60"/>
      <w:jc w:val="center"/>
    </w:pPr>
    <w:rPr>
      <w:rFonts w:asciiTheme="majorHAnsi" w:hAnsiTheme="majorHAnsi" w:eastAsiaTheme="majorEastAsia" w:cstheme="majorBidi"/>
      <w:b/>
      <w:bCs/>
      <w:szCs w:val="32"/>
    </w:rPr>
  </w:style>
  <w:style w:type="character" w:customStyle="1" w:styleId="11">
    <w:name w:val="页脚 字符"/>
    <w:basedOn w:val="10"/>
    <w:link w:val="6"/>
    <w:qFormat/>
    <w:uiPriority w:val="99"/>
    <w:rPr>
      <w:rFonts w:eastAsia="仿宋_GB2312"/>
      <w:kern w:val="2"/>
      <w:sz w:val="18"/>
      <w:szCs w:val="18"/>
    </w:rPr>
  </w:style>
  <w:style w:type="character" w:customStyle="1" w:styleId="12">
    <w:name w:val="页眉 字符"/>
    <w:basedOn w:val="10"/>
    <w:link w:val="7"/>
    <w:qFormat/>
    <w:uiPriority w:val="0"/>
    <w:rPr>
      <w:rFonts w:eastAsia="仿宋_GB2312"/>
      <w:kern w:val="2"/>
      <w:sz w:val="18"/>
      <w:szCs w:val="18"/>
    </w:rPr>
  </w:style>
  <w:style w:type="character" w:customStyle="1" w:styleId="13">
    <w:name w:val="批注框文本 字符"/>
    <w:basedOn w:val="10"/>
    <w:link w:val="5"/>
    <w:qFormat/>
    <w:uiPriority w:val="0"/>
    <w:rPr>
      <w:rFonts w:eastAsia="仿宋_GB2312"/>
      <w:kern w:val="2"/>
      <w:sz w:val="18"/>
      <w:szCs w:val="18"/>
    </w:rPr>
  </w:style>
  <w:style w:type="paragraph" w:styleId="14">
    <w:name w:val="List Paragraph"/>
    <w:basedOn w:val="1"/>
    <w:qFormat/>
    <w:uiPriority w:val="99"/>
    <w:pPr>
      <w:ind w:firstLine="420"/>
    </w:pPr>
  </w:style>
  <w:style w:type="character" w:customStyle="1" w:styleId="15">
    <w:name w:val="标题 字符"/>
    <w:basedOn w:val="10"/>
    <w:link w:val="8"/>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231</Words>
  <Characters>1318</Characters>
  <Lines>10</Lines>
  <Paragraphs>3</Paragraphs>
  <TotalTime>75</TotalTime>
  <ScaleCrop>false</ScaleCrop>
  <LinksUpToDate>false</LinksUpToDate>
  <CharactersWithSpaces>1546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2024-05-30T08:27:00Z</dcterms:created>
  <dc:creator>lhn</dc:creator>
  <cp:lastModifiedBy>Jimmy明</cp:lastModifiedBy>
  <cp:lastPrinted>2020-02-29T13:55:00Z</cp:lastPrinted>
  <dcterms:modified xsi:type="dcterms:W3CDTF">2024-06-07T09:09:46Z</dcterms:modified>
  <dc:title>财政支出绩效评价报告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9C7F37F1586C49748334E6AA5A416882_13</vt:lpwstr>
  </property>
</Properties>
</file>