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ˎ̥" w:eastAsia="黑体"/>
          <w:color w:val="000000"/>
          <w:sz w:val="32"/>
          <w:szCs w:val="32"/>
          <w:highlight w:val="none"/>
          <w:lang w:val="en-US" w:eastAsia="zh-CN"/>
        </w:rPr>
      </w:pPr>
      <w:bookmarkStart w:id="119" w:name="_GoBack"/>
      <w:bookmarkEnd w:id="119"/>
      <w:r>
        <w:rPr>
          <w:rFonts w:hint="eastAsia" w:ascii="黑体" w:hAnsi="ˎ̥" w:eastAsia="黑体"/>
          <w:color w:val="000000"/>
          <w:sz w:val="32"/>
          <w:szCs w:val="32"/>
          <w:highlight w:val="none"/>
          <w:lang w:eastAsia="zh-CN"/>
        </w:rPr>
        <w:t>附件</w:t>
      </w:r>
      <w:r>
        <w:rPr>
          <w:rFonts w:hint="eastAsia" w:ascii="黑体" w:hAnsi="ˎ̥" w:eastAsia="黑体"/>
          <w:color w:val="000000"/>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ˎ̥" w:eastAsia="黑体"/>
          <w:color w:val="000000"/>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auto"/>
          <w:sz w:val="44"/>
          <w:szCs w:val="44"/>
        </w:rPr>
      </w:pPr>
      <w:r>
        <w:rPr>
          <w:rFonts w:hint="eastAsia" w:ascii="黑体" w:hAnsi="ˎ̥" w:eastAsia="黑体"/>
          <w:color w:val="000000"/>
          <w:sz w:val="44"/>
          <w:szCs w:val="44"/>
          <w:highlight w:val="none"/>
          <w:lang w:eastAsia="zh-CN"/>
        </w:rPr>
        <w:t>海口市琼山区甲子</w:t>
      </w:r>
      <w:r>
        <w:rPr>
          <w:rFonts w:hint="eastAsia" w:ascii="黑体" w:hAnsi="ˎ̥" w:eastAsia="黑体"/>
          <w:color w:val="auto"/>
          <w:sz w:val="44"/>
          <w:szCs w:val="44"/>
        </w:rPr>
        <w:t>镇农业服务中心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rPr>
        <w:t>2022年度</w:t>
      </w:r>
      <w:r>
        <w:rPr>
          <w:rFonts w:hint="eastAsia" w:ascii="黑体" w:hAnsi="ˎ̥" w:eastAsia="黑体"/>
          <w:color w:val="000000"/>
          <w:sz w:val="44"/>
          <w:szCs w:val="44"/>
          <w:highlight w:val="none"/>
          <w:lang w:eastAsia="zh-CN"/>
        </w:rPr>
        <w:t>单位</w:t>
      </w:r>
      <w:r>
        <w:rPr>
          <w:rFonts w:hint="eastAsia" w:ascii="黑体" w:hAnsi="ˎ̥" w:eastAsia="黑体"/>
          <w:color w:val="000000"/>
          <w:sz w:val="44"/>
          <w:szCs w:val="44"/>
          <w:highlight w:val="none"/>
        </w:rPr>
        <w:t>决算公开</w:t>
      </w:r>
      <w:r>
        <w:rPr>
          <w:rFonts w:ascii="黑体" w:hAnsi="ˎ̥" w:eastAsia="黑体"/>
          <w:color w:val="000000"/>
          <w:sz w:val="44"/>
          <w:szCs w:val="44"/>
          <w:highlight w:val="none"/>
        </w:rPr>
        <w:t>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8"/>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8"/>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5</w:t>
      </w:r>
    </w:p>
    <w:p>
      <w:pPr>
        <w:jc w:val="center"/>
        <w:rPr>
          <w:rFonts w:hint="eastAsia" w:ascii="黑体" w:hAnsi="ˎ̥" w:eastAsia="黑体"/>
          <w:color w:val="000000"/>
          <w:sz w:val="32"/>
          <w:szCs w:val="32"/>
          <w:highlight w:val="none"/>
        </w:rPr>
      </w:pPr>
      <w:bookmarkStart w:id="2" w:name="_Toc10049_WPSOffice_Level1"/>
      <w:bookmarkStart w:id="3" w:name="_Toc10720_WPSOffice_Level1"/>
      <w:bookmarkStart w:id="4" w:name="_Toc1704_WPSOffice_Level1"/>
      <w:bookmarkStart w:id="5" w:name="_Toc32433_WPSOffice_Level1"/>
      <w:bookmarkStart w:id="6" w:name="_Toc23465_WPSOffice_Level1"/>
      <w:bookmarkStart w:id="7" w:name="_Toc22941_WPSOffice_Level1"/>
      <w:bookmarkStart w:id="8" w:name="_Toc24238_WPSOffice_Level2"/>
      <w:bookmarkStart w:id="9" w:name="_Toc20205_WPSOffice_Level2"/>
      <w:bookmarkStart w:id="10" w:name="_Toc26580_WPSOffice_Level2"/>
      <w:bookmarkStart w:id="11" w:name="_Toc32622_WPSOffice_Level2"/>
      <w:bookmarkStart w:id="12" w:name="_Toc14159_WPSOffice_Level2"/>
      <w:bookmarkStart w:id="13" w:name="_Toc20274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bookmarkEnd w:id="8"/>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单位职责</w:t>
      </w:r>
      <w:bookmarkEnd w:id="9"/>
      <w:bookmarkEnd w:id="10"/>
      <w:bookmarkEnd w:id="11"/>
      <w:bookmarkEnd w:id="12"/>
      <w:bookmarkEnd w:id="13"/>
    </w:p>
    <w:p>
      <w:pPr>
        <w:ind w:firstLine="640" w:firstLineChars="200"/>
        <w:rPr>
          <w:rFonts w:hint="eastAsia" w:ascii="仿宋_GB2312" w:hAnsi="ˎ̥" w:eastAsia="仿宋_GB2312"/>
          <w:color w:val="auto"/>
          <w:sz w:val="32"/>
          <w:szCs w:val="32"/>
        </w:rPr>
      </w:pPr>
      <w:r>
        <w:rPr>
          <w:rFonts w:hint="eastAsia" w:ascii="仿宋_GB2312" w:hAnsi="ˎ̥" w:eastAsia="仿宋_GB2312"/>
          <w:color w:val="auto"/>
          <w:sz w:val="32"/>
          <w:szCs w:val="32"/>
        </w:rPr>
        <w:t>认真履行五大职责：一是加强内部人、财、物的管理；</w:t>
      </w:r>
    </w:p>
    <w:p>
      <w:pPr>
        <w:rPr>
          <w:rFonts w:hint="eastAsia" w:ascii="黑体" w:hAnsi="黑体" w:eastAsia="黑体" w:cs="黑体"/>
          <w:color w:val="000000"/>
          <w:sz w:val="32"/>
          <w:szCs w:val="32"/>
          <w:highlight w:val="none"/>
        </w:rPr>
      </w:pPr>
      <w:r>
        <w:rPr>
          <w:rFonts w:hint="eastAsia" w:ascii="仿宋_GB2312" w:hAnsi="ˎ̥" w:eastAsia="仿宋_GB2312"/>
          <w:color w:val="auto"/>
          <w:sz w:val="32"/>
          <w:szCs w:val="32"/>
        </w:rPr>
        <w:t>二是协调组织推行科技进步、推广应用农业技术、提供市场信息、农产品运销、农村经营管理、农资供应、动植物检疫防疫等方面工作；三是履行上级相对应的业务管理工作；四是开展服务性经营活动；五是完成镇政府安排的各项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bookmarkStart w:id="14" w:name="_Toc4833_WPSOffice_Level2"/>
      <w:bookmarkStart w:id="15" w:name="_Toc17796_WPSOffice_Level2"/>
      <w:bookmarkStart w:id="16" w:name="_Toc24059_WPSOffice_Level2"/>
      <w:bookmarkStart w:id="17" w:name="_Toc24474_WPSOffice_Level2"/>
      <w:bookmarkStart w:id="18" w:name="_Toc6572_WPSOffice_Level2"/>
      <w:r>
        <w:rPr>
          <w:rFonts w:hint="eastAsia" w:ascii="黑体" w:hAnsi="黑体" w:eastAsia="黑体" w:cs="黑体"/>
          <w:color w:val="000000"/>
          <w:sz w:val="32"/>
          <w:szCs w:val="32"/>
          <w:highlight w:val="none"/>
        </w:rPr>
        <w:t>二、机构设置</w:t>
      </w:r>
      <w:bookmarkEnd w:id="14"/>
      <w:bookmarkEnd w:id="15"/>
      <w:bookmarkEnd w:id="16"/>
      <w:bookmarkEnd w:id="17"/>
      <w:bookmarkEnd w:id="18"/>
    </w:p>
    <w:p>
      <w:pPr>
        <w:ind w:firstLine="640" w:firstLineChars="200"/>
        <w:rPr>
          <w:rFonts w:hint="eastAsia" w:ascii="黑体" w:hAnsi="ˎ̥" w:eastAsia="仿宋_GB2312"/>
          <w:color w:val="000000"/>
          <w:sz w:val="32"/>
          <w:szCs w:val="32"/>
          <w:highlight w:val="none"/>
          <w:lang w:eastAsia="zh-CN"/>
        </w:rPr>
      </w:pPr>
      <w:bookmarkStart w:id="19" w:name="_Toc30690_WPSOffice_Level1"/>
      <w:bookmarkStart w:id="20" w:name="_Toc15521_WPSOffice_Level1"/>
      <w:bookmarkStart w:id="21" w:name="_Toc8164_WPSOffice_Level1"/>
      <w:bookmarkStart w:id="22" w:name="_Toc6234_WPSOffice_Level1"/>
      <w:bookmarkStart w:id="23" w:name="_Toc28253_WPSOffice_Level1"/>
      <w:bookmarkStart w:id="24" w:name="_Toc30451_WPSOffice_Level1"/>
      <w:bookmarkStart w:id="25" w:name="_Toc11518_WPSOffice_Level2"/>
      <w:bookmarkStart w:id="26" w:name="_Toc4029_WPSOffice_Level2"/>
      <w:bookmarkStart w:id="27" w:name="_Toc32695_WPSOffice_Level2"/>
      <w:bookmarkStart w:id="28" w:name="_Toc6211_WPSOffice_Level2"/>
      <w:bookmarkStart w:id="29" w:name="_Toc32472_WPSOffice_Level2"/>
      <w:bookmarkStart w:id="30" w:name="_Toc8867_WPSOffice_Level2"/>
      <w:r>
        <w:rPr>
          <w:rFonts w:hint="eastAsia" w:ascii="仿宋_GB2312" w:hAnsi="ˎ̥" w:eastAsia="仿宋_GB2312"/>
          <w:color w:val="auto"/>
          <w:sz w:val="32"/>
          <w:szCs w:val="32"/>
          <w:highlight w:val="none"/>
          <w:lang w:val="en-US" w:eastAsia="zh-CN"/>
        </w:rPr>
        <w:t>本单位内设畜牧站、农技站、检测站、林业站、水利站、等5个业务科室。</w:t>
      </w:r>
      <w:r>
        <w:rPr>
          <w:rFonts w:hint="eastAsia" w:ascii="仿宋_GB2312" w:hAnsi="ˎ̥" w:eastAsia="仿宋_GB2312"/>
          <w:color w:val="auto"/>
          <w:sz w:val="32"/>
          <w:szCs w:val="32"/>
        </w:rPr>
        <w:t>录属于</w:t>
      </w:r>
      <w:r>
        <w:rPr>
          <w:rFonts w:hint="eastAsia" w:ascii="仿宋_GB2312" w:hAnsi="ˎ̥" w:eastAsia="仿宋_GB2312"/>
          <w:color w:val="auto"/>
          <w:sz w:val="32"/>
          <w:szCs w:val="32"/>
          <w:lang w:eastAsia="zh-CN"/>
        </w:rPr>
        <w:t>甲子</w:t>
      </w:r>
      <w:r>
        <w:rPr>
          <w:rFonts w:hint="eastAsia" w:ascii="仿宋_GB2312" w:hAnsi="ˎ̥" w:eastAsia="仿宋_GB2312"/>
          <w:color w:val="auto"/>
          <w:sz w:val="32"/>
          <w:szCs w:val="32"/>
        </w:rPr>
        <w:t>镇</w:t>
      </w:r>
      <w:r>
        <w:rPr>
          <w:rFonts w:hint="eastAsia" w:ascii="仿宋_GB2312" w:hAnsi="ˎ̥" w:eastAsia="仿宋_GB2312"/>
          <w:color w:val="auto"/>
          <w:sz w:val="32"/>
          <w:szCs w:val="32"/>
          <w:lang w:eastAsia="zh-CN"/>
        </w:rPr>
        <w:t>人民</w:t>
      </w:r>
      <w:r>
        <w:rPr>
          <w:rFonts w:hint="eastAsia" w:ascii="仿宋_GB2312" w:hAnsi="ˎ̥" w:eastAsia="仿宋_GB2312"/>
          <w:color w:val="auto"/>
          <w:sz w:val="32"/>
          <w:szCs w:val="32"/>
        </w:rPr>
        <w:t>政府，全额拨款二级预算单位，编制数1</w:t>
      </w:r>
      <w:r>
        <w:rPr>
          <w:rFonts w:hint="eastAsia" w:ascii="仿宋_GB2312" w:hAnsi="ˎ̥" w:eastAsia="仿宋_GB2312"/>
          <w:color w:val="auto"/>
          <w:sz w:val="32"/>
          <w:szCs w:val="32"/>
          <w:lang w:val="en-US" w:eastAsia="zh-CN"/>
        </w:rPr>
        <w:t>6</w:t>
      </w:r>
      <w:r>
        <w:rPr>
          <w:rFonts w:hint="eastAsia" w:ascii="仿宋_GB2312" w:hAnsi="ˎ̥" w:eastAsia="仿宋_GB2312"/>
          <w:color w:val="auto"/>
          <w:sz w:val="32"/>
          <w:szCs w:val="32"/>
        </w:rPr>
        <w:t>人，年末实有人数</w:t>
      </w:r>
      <w:r>
        <w:rPr>
          <w:rFonts w:hint="eastAsia" w:ascii="仿宋_GB2312" w:hAnsi="ˎ̥" w:eastAsia="仿宋_GB2312"/>
          <w:color w:val="auto"/>
          <w:sz w:val="32"/>
          <w:szCs w:val="32"/>
          <w:lang w:val="en-US" w:eastAsia="zh-CN"/>
        </w:rPr>
        <w:t>12</w:t>
      </w:r>
      <w:r>
        <w:rPr>
          <w:rFonts w:hint="eastAsia" w:ascii="仿宋_GB2312" w:hAnsi="ˎ̥" w:eastAsia="仿宋_GB2312"/>
          <w:color w:val="auto"/>
          <w:sz w:val="32"/>
          <w:szCs w:val="32"/>
        </w:rPr>
        <w:t>人。编外人员</w:t>
      </w:r>
      <w:r>
        <w:rPr>
          <w:rFonts w:hint="eastAsia" w:ascii="仿宋_GB2312" w:hAnsi="ˎ̥" w:eastAsia="仿宋_GB2312"/>
          <w:color w:val="auto"/>
          <w:sz w:val="32"/>
          <w:szCs w:val="32"/>
          <w:lang w:val="en-US" w:eastAsia="zh-CN"/>
        </w:rPr>
        <w:t xml:space="preserve"> 92 </w:t>
      </w:r>
      <w:r>
        <w:rPr>
          <w:rFonts w:hint="eastAsia" w:ascii="仿宋_GB2312" w:hAnsi="ˎ̥" w:eastAsia="仿宋_GB2312"/>
          <w:color w:val="auto"/>
          <w:sz w:val="32"/>
          <w:szCs w:val="32"/>
        </w:rPr>
        <w:t>人，其中镇级检测员</w:t>
      </w:r>
      <w:r>
        <w:rPr>
          <w:rFonts w:hint="eastAsia" w:ascii="仿宋_GB2312" w:hAnsi="ˎ̥" w:eastAsia="仿宋_GB2312"/>
          <w:color w:val="auto"/>
          <w:sz w:val="32"/>
          <w:szCs w:val="32"/>
          <w:lang w:val="en-US" w:eastAsia="zh-CN"/>
        </w:rPr>
        <w:t xml:space="preserve">  8 </w:t>
      </w:r>
      <w:r>
        <w:rPr>
          <w:rFonts w:hint="eastAsia" w:ascii="仿宋_GB2312" w:hAnsi="ˎ̥" w:eastAsia="仿宋_GB2312"/>
          <w:color w:val="auto"/>
          <w:sz w:val="32"/>
          <w:szCs w:val="32"/>
        </w:rPr>
        <w:t>人、村级</w:t>
      </w:r>
      <w:r>
        <w:rPr>
          <w:rFonts w:hint="eastAsia" w:ascii="仿宋_GB2312" w:hAnsi="ˎ̥" w:eastAsia="仿宋_GB2312"/>
          <w:color w:val="auto"/>
          <w:sz w:val="32"/>
          <w:szCs w:val="32"/>
          <w:lang w:eastAsia="zh-CN"/>
        </w:rPr>
        <w:t>监</w:t>
      </w:r>
      <w:r>
        <w:rPr>
          <w:rFonts w:hint="eastAsia" w:ascii="仿宋_GB2312" w:hAnsi="ˎ̥" w:eastAsia="仿宋_GB2312"/>
          <w:color w:val="auto"/>
          <w:sz w:val="32"/>
          <w:szCs w:val="32"/>
        </w:rPr>
        <w:t>测员</w:t>
      </w:r>
      <w:r>
        <w:rPr>
          <w:rFonts w:hint="eastAsia" w:ascii="仿宋_GB2312" w:hAnsi="ˎ̥" w:eastAsia="仿宋_GB2312"/>
          <w:color w:val="auto"/>
          <w:sz w:val="32"/>
          <w:szCs w:val="32"/>
          <w:lang w:val="en-US" w:eastAsia="zh-CN"/>
        </w:rPr>
        <w:t xml:space="preserve">  25 </w:t>
      </w:r>
      <w:r>
        <w:rPr>
          <w:rFonts w:hint="eastAsia" w:ascii="仿宋_GB2312" w:hAnsi="ˎ̥" w:eastAsia="仿宋_GB2312"/>
          <w:color w:val="auto"/>
          <w:sz w:val="32"/>
          <w:szCs w:val="32"/>
        </w:rPr>
        <w:t>人、水库管理员</w:t>
      </w:r>
      <w:r>
        <w:rPr>
          <w:rFonts w:hint="eastAsia" w:ascii="仿宋_GB2312" w:hAnsi="ˎ̥" w:eastAsia="仿宋_GB2312"/>
          <w:color w:val="auto"/>
          <w:sz w:val="32"/>
          <w:szCs w:val="32"/>
          <w:lang w:val="en-US" w:eastAsia="zh-CN"/>
        </w:rPr>
        <w:t xml:space="preserve">  30</w:t>
      </w:r>
      <w:r>
        <w:rPr>
          <w:rFonts w:hint="eastAsia" w:ascii="仿宋_GB2312" w:hAnsi="ˎ̥" w:eastAsia="仿宋_GB2312"/>
          <w:color w:val="auto"/>
          <w:sz w:val="32"/>
          <w:szCs w:val="32"/>
        </w:rPr>
        <w:t>人、</w:t>
      </w:r>
      <w:r>
        <w:rPr>
          <w:rFonts w:hint="eastAsia" w:ascii="仿宋_GB2312" w:hAnsi="ˎ̥" w:eastAsia="仿宋_GB2312"/>
          <w:color w:val="auto"/>
          <w:sz w:val="32"/>
          <w:szCs w:val="32"/>
          <w:lang w:eastAsia="zh-CN"/>
        </w:rPr>
        <w:t>村级防疫员</w:t>
      </w:r>
      <w:r>
        <w:rPr>
          <w:rFonts w:hint="eastAsia" w:ascii="仿宋_GB2312" w:hAnsi="ˎ̥" w:eastAsia="仿宋_GB2312"/>
          <w:color w:val="auto"/>
          <w:sz w:val="32"/>
          <w:szCs w:val="32"/>
          <w:lang w:val="en-US" w:eastAsia="zh-CN"/>
        </w:rPr>
        <w:t xml:space="preserve">17  </w:t>
      </w:r>
      <w:r>
        <w:rPr>
          <w:rFonts w:hint="eastAsia" w:ascii="仿宋_GB2312" w:hAnsi="ˎ̥" w:eastAsia="仿宋_GB2312"/>
          <w:color w:val="auto"/>
          <w:sz w:val="32"/>
          <w:szCs w:val="32"/>
        </w:rPr>
        <w:t>人、</w:t>
      </w:r>
      <w:r>
        <w:rPr>
          <w:rFonts w:hint="eastAsia" w:ascii="仿宋_GB2312" w:hAnsi="ˎ̥" w:eastAsia="仿宋_GB2312"/>
          <w:color w:val="auto"/>
          <w:sz w:val="32"/>
          <w:szCs w:val="32"/>
          <w:lang w:eastAsia="zh-CN"/>
        </w:rPr>
        <w:t>村级</w:t>
      </w:r>
      <w:r>
        <w:rPr>
          <w:rFonts w:hint="eastAsia" w:ascii="仿宋_GB2312" w:hAnsi="ˎ̥" w:eastAsia="仿宋_GB2312"/>
          <w:color w:val="auto"/>
          <w:sz w:val="32"/>
          <w:szCs w:val="32"/>
        </w:rPr>
        <w:t>农技员</w:t>
      </w:r>
      <w:r>
        <w:rPr>
          <w:rFonts w:hint="eastAsia" w:ascii="仿宋_GB2312" w:hAnsi="ˎ̥" w:eastAsia="仿宋_GB2312"/>
          <w:color w:val="auto"/>
          <w:sz w:val="32"/>
          <w:szCs w:val="32"/>
          <w:lang w:val="en-US" w:eastAsia="zh-CN"/>
        </w:rPr>
        <w:t xml:space="preserve"> 12 </w:t>
      </w:r>
      <w:r>
        <w:rPr>
          <w:rFonts w:hint="eastAsia" w:ascii="仿宋_GB2312" w:hAnsi="ˎ̥" w:eastAsia="仿宋_GB2312"/>
          <w:color w:val="auto"/>
          <w:sz w:val="32"/>
          <w:szCs w:val="32"/>
        </w:rPr>
        <w:t>人</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highlight w:val="none"/>
        </w:rPr>
      </w:pPr>
      <w:r>
        <w:rPr>
          <w:rFonts w:hint="eastAsia" w:ascii="黑体" w:hAnsi="ˎ̥" w:eastAsia="黑体"/>
          <w:color w:val="000000"/>
          <w:sz w:val="32"/>
          <w:szCs w:val="32"/>
          <w:highlight w:val="none"/>
        </w:rPr>
        <w:t>第二部分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30334_WPSOffice_Level2"/>
      <w:bookmarkStart w:id="32" w:name="_Toc28622_WPSOffice_Level2"/>
      <w:bookmarkStart w:id="33" w:name="_Toc14349_WPSOffice_Level2"/>
      <w:bookmarkStart w:id="34" w:name="_Toc23139_WPSOffice_Level2"/>
      <w:bookmarkStart w:id="35" w:name="_Toc25608_WPSOffice_Level2"/>
      <w:bookmarkStart w:id="36" w:name="_Toc26621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7626_WPSOffice_Level2"/>
      <w:bookmarkStart w:id="38" w:name="_Toc17858_WPSOffice_Level2"/>
      <w:bookmarkStart w:id="39" w:name="_Toc13854_WPSOffice_Level2"/>
      <w:bookmarkStart w:id="40" w:name="_Toc3262_WPSOffice_Level2"/>
      <w:bookmarkStart w:id="41" w:name="_Toc5489_WPSOffice_Level2"/>
      <w:bookmarkStart w:id="42" w:name="_Toc1465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4265_WPSOffice_Level2"/>
      <w:bookmarkStart w:id="44" w:name="_Toc7988_WPSOffice_Level2"/>
      <w:bookmarkStart w:id="45" w:name="_Toc23493_WPSOffice_Level2"/>
      <w:bookmarkStart w:id="46" w:name="_Toc23591_WPSOffice_Level2"/>
      <w:bookmarkStart w:id="47" w:name="_Toc13701_WPSOffice_Level2"/>
      <w:bookmarkStart w:id="48" w:name="_Toc21415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25166_WPSOffice_Level2"/>
      <w:bookmarkStart w:id="50" w:name="_Toc7879_WPSOffice_Level2"/>
      <w:bookmarkStart w:id="51" w:name="_Toc23829_WPSOffice_Level2"/>
      <w:bookmarkStart w:id="52" w:name="_Toc22783_WPSOffice_Level2"/>
      <w:bookmarkStart w:id="53" w:name="_Toc13516_WPSOffice_Level2"/>
      <w:bookmarkStart w:id="54" w:name="_Toc2158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17833_WPSOffice_Level2"/>
      <w:bookmarkStart w:id="56" w:name="_Toc5343_WPSOffice_Level2"/>
      <w:bookmarkStart w:id="57" w:name="_Toc17283_WPSOffice_Level2"/>
      <w:bookmarkStart w:id="58" w:name="_Toc25362_WPSOffice_Level2"/>
      <w:bookmarkStart w:id="59" w:name="_Toc8373_WPSOffice_Level2"/>
      <w:bookmarkStart w:id="60" w:name="_Toc2632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1533_WPSOffice_Level2"/>
      <w:bookmarkStart w:id="62" w:name="_Toc21310_WPSOffice_Level2"/>
      <w:bookmarkStart w:id="63" w:name="_Toc11799_WPSOffice_Level2"/>
      <w:bookmarkStart w:id="64" w:name="_Toc5594_WPSOffice_Level2"/>
      <w:bookmarkStart w:id="65" w:name="_Toc6020_WPSOffice_Level2"/>
      <w:bookmarkStart w:id="66" w:name="_Toc13345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1820_WPSOffice_Level2"/>
      <w:bookmarkStart w:id="68" w:name="_Toc29886_WPSOffice_Level2"/>
      <w:bookmarkStart w:id="69" w:name="_Toc9377_WPSOffice_Level2"/>
      <w:bookmarkStart w:id="70" w:name="_Toc19961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28629_WPSOffice_Level1"/>
      <w:bookmarkStart w:id="72" w:name="_Toc31264_WPSOffice_Level1"/>
      <w:bookmarkStart w:id="73" w:name="_Toc4402_WPSOffice_Level1"/>
      <w:bookmarkStart w:id="74" w:name="_Toc16686_WPSOffice_Level1"/>
      <w:bookmarkStart w:id="75" w:name="_Toc29683_WPSOffice_Level1"/>
      <w:bookmarkStart w:id="76" w:name="_Toc27590_WPSOffice_Level1"/>
      <w:r>
        <w:rPr>
          <w:rFonts w:hint="eastAsia" w:ascii="黑体" w:hAnsi="ˎ̥" w:eastAsia="黑体"/>
          <w:color w:val="000000"/>
          <w:sz w:val="32"/>
          <w:szCs w:val="32"/>
          <w:highlight w:val="none"/>
        </w:rPr>
        <w:t>第三部分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_GB2312" w:hAnsi="ˎ̥" w:eastAsia="楷体_GB2312"/>
          <w:color w:val="000000"/>
          <w:sz w:val="32"/>
          <w:szCs w:val="32"/>
          <w:highlight w:val="none"/>
        </w:rPr>
      </w:pPr>
      <w:r>
        <w:rPr>
          <w:rFonts w:hint="eastAsia" w:ascii="黑体" w:hAnsi="黑体" w:eastAsia="黑体" w:cs="黑体"/>
          <w:bCs/>
          <w:color w:val="000000"/>
          <w:sz w:val="32"/>
          <w:szCs w:val="32"/>
          <w:highlight w:val="none"/>
        </w:rPr>
        <w:t>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2022年度收入总计506.58万元，支出总计506.58万元，与2021年度相比，收入总计减少3.82万元，下降 0.75 %，年初结转结余30万元，主要是上年项目经费结转结余，与2021年度决算数30万元持平。年末结转结余26万元，主要是项目经费结转结余，较2021年度决算数减少4万元，主要原因是制作‘甲子绿头鸭、牛大力’地理标志服务费，从标准制定工作经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480.58</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251.48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 xml:space="preserve"> 52.3 </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229.10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 xml:space="preserve">  47.7 </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万元。与2021年度相比，财政拨款收入、支出各减少</w:t>
      </w:r>
      <w:r>
        <w:rPr>
          <w:rFonts w:hint="eastAsia" w:ascii="仿宋_GB2312" w:hAnsi="ˎ̥" w:eastAsia="仿宋_GB2312"/>
          <w:color w:val="000000"/>
          <w:sz w:val="32"/>
          <w:szCs w:val="32"/>
          <w:highlight w:val="none"/>
          <w:lang w:val="en-US" w:eastAsia="zh-CN"/>
        </w:rPr>
        <w:t>3.63</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 xml:space="preserve"> 0.8</w:t>
      </w:r>
      <w:r>
        <w:rPr>
          <w:rFonts w:hint="eastAsia" w:ascii="仿宋_GB2312" w:hAnsi="ˎ̥" w:eastAsia="仿宋_GB2312"/>
          <w:color w:val="000000"/>
          <w:sz w:val="32"/>
          <w:szCs w:val="32"/>
          <w:highlight w:val="none"/>
        </w:rPr>
        <w:t>%。主要原因：</w:t>
      </w:r>
      <w:r>
        <w:rPr>
          <w:rFonts w:hint="eastAsia" w:ascii="仿宋_GB2312" w:hAnsi="ˎ̥" w:eastAsia="仿宋_GB2312"/>
          <w:color w:val="000000"/>
          <w:sz w:val="32"/>
          <w:szCs w:val="32"/>
          <w:highlight w:val="none"/>
          <w:lang w:eastAsia="zh-CN"/>
        </w:rPr>
        <w:t>人员及</w:t>
      </w:r>
      <w:r>
        <w:rPr>
          <w:rFonts w:hint="eastAsia" w:ascii="仿宋_GB2312" w:hAnsi="ˎ̥" w:eastAsia="仿宋_GB2312"/>
          <w:color w:val="000000"/>
          <w:sz w:val="32"/>
          <w:szCs w:val="32"/>
          <w:highlight w:val="none"/>
        </w:rPr>
        <w:t>业务经费</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，财政拨款</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财政拨款年初结转结余0万元，主要是没有此项结转结余，较20</w:t>
      </w:r>
      <w:r>
        <w:rPr>
          <w:rFonts w:hint="eastAsia" w:ascii="仿宋_GB2312" w:hAnsi="ˎ̥" w:eastAsia="仿宋_GB2312"/>
          <w:color w:val="000000"/>
          <w:sz w:val="32"/>
          <w:szCs w:val="32"/>
          <w:highlight w:val="none"/>
          <w:lang w:val="en-US" w:eastAsia="zh-CN"/>
        </w:rPr>
        <w:t>21</w:t>
      </w:r>
      <w:r>
        <w:rPr>
          <w:rFonts w:hint="eastAsia" w:ascii="仿宋_GB2312" w:hAnsi="ˎ̥" w:eastAsia="仿宋_GB2312"/>
          <w:color w:val="000000"/>
          <w:sz w:val="32"/>
          <w:szCs w:val="32"/>
          <w:highlight w:val="none"/>
        </w:rPr>
        <w:t>年度决算数</w:t>
      </w:r>
      <w:r>
        <w:rPr>
          <w:rFonts w:hint="eastAsia" w:ascii="仿宋_GB2312" w:hAnsi="ˎ̥" w:eastAsia="仿宋_GB2312"/>
          <w:color w:val="000000"/>
          <w:sz w:val="32"/>
          <w:szCs w:val="32"/>
          <w:highlight w:val="none"/>
          <w:lang w:eastAsia="zh-CN"/>
        </w:rPr>
        <w:t>持平，</w:t>
      </w:r>
      <w:r>
        <w:rPr>
          <w:rFonts w:hint="eastAsia" w:ascii="仿宋_GB2312" w:hAnsi="ˎ̥" w:eastAsia="仿宋_GB2312"/>
          <w:color w:val="000000"/>
          <w:sz w:val="32"/>
          <w:szCs w:val="32"/>
          <w:highlight w:val="none"/>
          <w:lang w:val="en-US" w:eastAsia="zh-CN"/>
        </w:rPr>
        <w:t>主要原因是无结转结余资金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万元，主要是</w:t>
      </w:r>
      <w:r>
        <w:rPr>
          <w:rFonts w:hint="eastAsia" w:ascii="仿宋_GB2312" w:hAnsi="ˎ̥" w:eastAsia="仿宋_GB2312"/>
          <w:color w:val="000000"/>
          <w:sz w:val="32"/>
          <w:szCs w:val="32"/>
          <w:highlight w:val="none"/>
          <w:lang w:val="en-US" w:eastAsia="zh-CN"/>
        </w:rPr>
        <w:t>无结转结余资金</w:t>
      </w:r>
      <w:r>
        <w:rPr>
          <w:rFonts w:hint="eastAsia" w:ascii="仿宋_GB2312" w:hAnsi="ˎ̥" w:eastAsia="仿宋_GB2312"/>
          <w:color w:val="000000"/>
          <w:sz w:val="32"/>
          <w:szCs w:val="32"/>
          <w:highlight w:val="none"/>
        </w:rPr>
        <w:t>，较2021年度年末数</w:t>
      </w:r>
      <w:r>
        <w:rPr>
          <w:rFonts w:hint="eastAsia" w:ascii="仿宋_GB2312" w:hAnsi="ˎ̥" w:eastAsia="仿宋_GB2312"/>
          <w:color w:val="000000"/>
          <w:sz w:val="32"/>
          <w:szCs w:val="32"/>
          <w:highlight w:val="none"/>
          <w:lang w:val="en-US" w:eastAsia="zh-CN"/>
        </w:rPr>
        <w:t>不变，主要原因是无结转结余资金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7398_WPSOffice_Level2"/>
      <w:bookmarkStart w:id="78" w:name="_Toc13694_WPSOffice_Level2"/>
      <w:bookmarkStart w:id="79" w:name="_Toc19665_WPSOffice_Level2"/>
      <w:bookmarkStart w:id="80" w:name="_Toc23005_WPSOffice_Level2"/>
      <w:bookmarkStart w:id="81" w:name="_Toc21737_WPSOffice_Level2"/>
      <w:bookmarkStart w:id="82" w:name="_Toc9989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99.2</w:t>
      </w:r>
      <w:r>
        <w:rPr>
          <w:rFonts w:hint="eastAsia" w:ascii="仿宋_GB2312" w:hAnsi="ˎ̥" w:eastAsia="仿宋_GB2312"/>
          <w:color w:val="000000"/>
          <w:sz w:val="32"/>
          <w:szCs w:val="32"/>
          <w:highlight w:val="none"/>
        </w:rPr>
        <w:t>%。与2021年度相比，一般公共预算财政拨款支出减少</w:t>
      </w:r>
      <w:r>
        <w:rPr>
          <w:rFonts w:hint="eastAsia" w:ascii="仿宋_GB2312" w:hAnsi="ˎ̥" w:eastAsia="仿宋_GB2312"/>
          <w:color w:val="000000"/>
          <w:sz w:val="32"/>
          <w:szCs w:val="32"/>
          <w:highlight w:val="none"/>
          <w:lang w:val="en-US" w:eastAsia="zh-CN"/>
        </w:rPr>
        <w:t xml:space="preserve"> 3.63</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 xml:space="preserve">0.8 </w:t>
      </w:r>
      <w:r>
        <w:rPr>
          <w:rFonts w:hint="eastAsia" w:ascii="仿宋_GB2312" w:hAnsi="ˎ̥" w:eastAsia="仿宋_GB2312"/>
          <w:color w:val="000000"/>
          <w:sz w:val="32"/>
          <w:szCs w:val="32"/>
          <w:highlight w:val="none"/>
        </w:rPr>
        <w:t>%，</w:t>
      </w:r>
      <w:bookmarkStart w:id="83" w:name="_Toc18793_WPSOffice_Level2"/>
      <w:bookmarkStart w:id="84" w:name="_Toc2711_WPSOffice_Level2"/>
      <w:bookmarkStart w:id="85" w:name="_Toc23864_WPSOffice_Level2"/>
      <w:bookmarkStart w:id="86" w:name="_Toc19535_WPSOffice_Level2"/>
      <w:bookmarkStart w:id="87" w:name="_Toc27767_WPSOffice_Level2"/>
      <w:bookmarkStart w:id="88" w:name="_Toc19075_WPSOffice_Level2"/>
      <w:r>
        <w:rPr>
          <w:rFonts w:hint="eastAsia" w:ascii="仿宋_GB2312" w:hAnsi="ˎ̥" w:eastAsia="仿宋_GB2312"/>
          <w:color w:val="000000"/>
          <w:sz w:val="32"/>
          <w:szCs w:val="32"/>
          <w:highlight w:val="none"/>
        </w:rPr>
        <w:t>主要原因是业务量</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，财政拨款</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val="0"/>
          <w:bCs w:val="0"/>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万元，主要用于以下方面</w:t>
      </w:r>
      <w:r>
        <w:rPr>
          <w:rFonts w:hint="eastAsia" w:ascii="仿宋_GB2312" w:hAnsi="ˎ̥" w:eastAsia="仿宋_GB2312"/>
          <w:b w:val="0"/>
          <w:bCs w:val="0"/>
          <w:color w:val="000000"/>
          <w:sz w:val="32"/>
          <w:szCs w:val="32"/>
          <w:highlight w:val="none"/>
        </w:rPr>
        <w:t>：社会保障和就业支出（类）</w:t>
      </w:r>
      <w:r>
        <w:rPr>
          <w:rFonts w:hint="eastAsia" w:ascii="仿宋_GB2312" w:hAnsi="ˎ̥" w:eastAsia="仿宋_GB2312"/>
          <w:b w:val="0"/>
          <w:bCs w:val="0"/>
          <w:color w:val="000000"/>
          <w:sz w:val="32"/>
          <w:szCs w:val="32"/>
          <w:highlight w:val="none"/>
          <w:lang w:val="en-US" w:eastAsia="zh-CN"/>
        </w:rPr>
        <w:t>27.25</w:t>
      </w:r>
      <w:r>
        <w:rPr>
          <w:rFonts w:hint="eastAsia" w:ascii="仿宋_GB2312" w:hAnsi="ˎ̥" w:eastAsia="仿宋_GB2312"/>
          <w:b w:val="0"/>
          <w:bCs w:val="0"/>
          <w:color w:val="000000"/>
          <w:sz w:val="32"/>
          <w:szCs w:val="32"/>
          <w:highlight w:val="none"/>
        </w:rPr>
        <w:t>万元，占</w:t>
      </w:r>
      <w:r>
        <w:rPr>
          <w:rFonts w:hint="eastAsia" w:ascii="仿宋_GB2312" w:hAnsi="ˎ̥" w:eastAsia="仿宋_GB2312"/>
          <w:b w:val="0"/>
          <w:bCs w:val="0"/>
          <w:color w:val="000000"/>
          <w:sz w:val="32"/>
          <w:szCs w:val="32"/>
          <w:highlight w:val="none"/>
          <w:lang w:val="en-US" w:eastAsia="zh-CN"/>
        </w:rPr>
        <w:t xml:space="preserve"> 5.7 </w:t>
      </w:r>
      <w:r>
        <w:rPr>
          <w:rFonts w:hint="eastAsia" w:ascii="仿宋_GB2312" w:hAnsi="ˎ̥" w:eastAsia="仿宋_GB2312"/>
          <w:b w:val="0"/>
          <w:bCs w:val="0"/>
          <w:color w:val="000000"/>
          <w:sz w:val="32"/>
          <w:szCs w:val="32"/>
          <w:highlight w:val="none"/>
        </w:rPr>
        <w:t>%；</w:t>
      </w:r>
      <w:r>
        <w:rPr>
          <w:rFonts w:hint="eastAsia" w:ascii="仿宋_GB2312" w:hAnsi="ˎ̥" w:eastAsia="仿宋_GB2312"/>
          <w:b w:val="0"/>
          <w:bCs w:val="0"/>
          <w:color w:val="000000"/>
          <w:sz w:val="32"/>
          <w:szCs w:val="32"/>
          <w:highlight w:val="none"/>
          <w:lang w:val="en-US" w:eastAsia="zh-CN"/>
        </w:rPr>
        <w:t>卫生健康支出（类）37.44万元，占7.9 %；农林水支出（类）394.14万元，占82.7 %；支出</w:t>
      </w:r>
      <w:r>
        <w:rPr>
          <w:rFonts w:hint="eastAsia" w:ascii="仿宋_GB2312" w:hAnsi="ˎ̥" w:eastAsia="仿宋_GB2312"/>
          <w:b w:val="0"/>
          <w:bCs w:val="0"/>
          <w:color w:val="000000"/>
          <w:sz w:val="32"/>
          <w:szCs w:val="32"/>
          <w:highlight w:val="none"/>
        </w:rPr>
        <w:t>住房保障支出（类）</w:t>
      </w:r>
      <w:r>
        <w:rPr>
          <w:rFonts w:hint="eastAsia" w:ascii="仿宋_GB2312" w:hAnsi="ˎ̥" w:eastAsia="仿宋_GB2312"/>
          <w:b w:val="0"/>
          <w:bCs w:val="0"/>
          <w:color w:val="000000"/>
          <w:sz w:val="32"/>
          <w:szCs w:val="32"/>
          <w:highlight w:val="none"/>
          <w:lang w:val="en-US" w:eastAsia="zh-CN"/>
        </w:rPr>
        <w:t>16.45</w:t>
      </w:r>
      <w:r>
        <w:rPr>
          <w:rFonts w:hint="eastAsia" w:ascii="仿宋_GB2312" w:hAnsi="ˎ̥" w:eastAsia="仿宋_GB2312"/>
          <w:b w:val="0"/>
          <w:bCs w:val="0"/>
          <w:color w:val="000000"/>
          <w:sz w:val="32"/>
          <w:szCs w:val="32"/>
          <w:highlight w:val="none"/>
        </w:rPr>
        <w:t>万元，占</w:t>
      </w:r>
      <w:r>
        <w:rPr>
          <w:rFonts w:hint="eastAsia" w:ascii="仿宋_GB2312" w:hAnsi="ˎ̥" w:eastAsia="仿宋_GB2312"/>
          <w:b w:val="0"/>
          <w:bCs w:val="0"/>
          <w:color w:val="000000"/>
          <w:sz w:val="32"/>
          <w:szCs w:val="32"/>
          <w:highlight w:val="none"/>
          <w:lang w:val="en-US" w:eastAsia="zh-CN"/>
        </w:rPr>
        <w:t>3.4</w:t>
      </w:r>
      <w:r>
        <w:rPr>
          <w:rFonts w:hint="eastAsia" w:ascii="仿宋_GB2312" w:hAnsi="ˎ̥" w:eastAsia="仿宋_GB2312"/>
          <w:b w:val="0"/>
          <w:bCs w:val="0"/>
          <w:color w:val="000000"/>
          <w:sz w:val="32"/>
          <w:szCs w:val="32"/>
          <w:highlight w:val="none"/>
        </w:rPr>
        <w:t>%；</w:t>
      </w:r>
      <w:r>
        <w:rPr>
          <w:rFonts w:hint="eastAsia" w:ascii="仿宋_GB2312" w:hAnsi="ˎ̥" w:eastAsia="仿宋_GB2312"/>
          <w:b w:val="0"/>
          <w:bCs w:val="0"/>
          <w:color w:val="000000"/>
          <w:sz w:val="32"/>
          <w:szCs w:val="32"/>
          <w:highlight w:val="none"/>
          <w:lang w:val="en-US" w:eastAsia="zh-CN"/>
        </w:rPr>
        <w:t>其他支出（类）1.3万元，占 0.3 %</w:t>
      </w:r>
      <w:r>
        <w:rPr>
          <w:rFonts w:hint="eastAsia" w:ascii="仿宋_GB2312" w:hAnsi="ˎ̥" w:eastAsia="仿宋_GB2312"/>
          <w:b w:val="0"/>
          <w:bCs w:val="0"/>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15415_WPSOffice_Level2"/>
      <w:bookmarkStart w:id="90" w:name="_Toc9502_WPSOffice_Level2"/>
      <w:bookmarkStart w:id="91" w:name="_Toc22318_WPSOffice_Level2"/>
      <w:bookmarkStart w:id="92" w:name="_Toc25136_WPSOffice_Level2"/>
      <w:bookmarkStart w:id="93" w:name="_Toc21701_WPSOffice_Level2"/>
      <w:bookmarkStart w:id="94" w:name="_Toc29364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476.58</w:t>
      </w:r>
      <w:r>
        <w:rPr>
          <w:rFonts w:hint="eastAsia" w:ascii="仿宋_GB2312" w:hAnsi="ˎ̥" w:eastAsia="仿宋_GB2312"/>
          <w:color w:val="000000"/>
          <w:sz w:val="32"/>
          <w:szCs w:val="32"/>
          <w:highlight w:val="none"/>
        </w:rPr>
        <w:t>万元，完成年初预算的10</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w:t>
      </w:r>
    </w:p>
    <w:p>
      <w:pPr>
        <w:ind w:firstLine="640" w:firstLineChars="200"/>
        <w:rPr>
          <w:rFonts w:hint="eastAsia" w:ascii="仿宋_GB2312" w:hAnsi="ˎ̥" w:eastAsia="仿宋_GB2312"/>
          <w:b w:val="0"/>
          <w:bCs w:val="0"/>
          <w:color w:val="auto"/>
          <w:sz w:val="32"/>
          <w:szCs w:val="32"/>
        </w:rPr>
      </w:pPr>
      <w:r>
        <w:rPr>
          <w:rFonts w:hint="eastAsia" w:ascii="仿宋_GB2312" w:hAnsi="ˎ̥" w:eastAsia="仿宋_GB2312"/>
          <w:b w:val="0"/>
          <w:bCs w:val="0"/>
          <w:color w:val="auto"/>
          <w:sz w:val="32"/>
          <w:szCs w:val="32"/>
          <w:lang w:val="en-US" w:eastAsia="zh-CN"/>
        </w:rPr>
        <w:t>1.</w:t>
      </w:r>
      <w:r>
        <w:rPr>
          <w:rFonts w:hint="eastAsia" w:ascii="仿宋_GB2312" w:hAnsi="ˎ̥" w:eastAsia="仿宋_GB2312"/>
          <w:b w:val="0"/>
          <w:bCs w:val="0"/>
          <w:color w:val="auto"/>
          <w:sz w:val="32"/>
          <w:szCs w:val="32"/>
        </w:rPr>
        <w:t>社会保障和就业（类）年初预算为</w:t>
      </w:r>
      <w:r>
        <w:rPr>
          <w:rFonts w:hint="eastAsia" w:ascii="仿宋_GB2312" w:hAnsi="ˎ̥" w:eastAsia="仿宋_GB2312"/>
          <w:b w:val="0"/>
          <w:bCs w:val="0"/>
          <w:color w:val="auto"/>
          <w:sz w:val="32"/>
          <w:szCs w:val="32"/>
          <w:lang w:val="en-US" w:eastAsia="zh-CN"/>
        </w:rPr>
        <w:t>27.25</w:t>
      </w:r>
      <w:r>
        <w:rPr>
          <w:rFonts w:hint="eastAsia" w:ascii="仿宋_GB2312" w:hAnsi="ˎ̥" w:eastAsia="仿宋_GB2312"/>
          <w:b w:val="0"/>
          <w:bCs w:val="0"/>
          <w:color w:val="auto"/>
          <w:sz w:val="32"/>
          <w:szCs w:val="32"/>
        </w:rPr>
        <w:t>万元，支出决算为</w:t>
      </w:r>
      <w:r>
        <w:rPr>
          <w:rFonts w:hint="eastAsia" w:ascii="仿宋_GB2312" w:hAnsi="ˎ̥" w:eastAsia="仿宋_GB2312"/>
          <w:b w:val="0"/>
          <w:bCs w:val="0"/>
          <w:color w:val="auto"/>
          <w:sz w:val="32"/>
          <w:szCs w:val="32"/>
          <w:lang w:val="en-US" w:eastAsia="zh-CN"/>
        </w:rPr>
        <w:t>27.25</w:t>
      </w:r>
      <w:r>
        <w:rPr>
          <w:rFonts w:hint="eastAsia" w:ascii="仿宋_GB2312" w:hAnsi="ˎ̥" w:eastAsia="仿宋_GB2312"/>
          <w:b w:val="0"/>
          <w:bCs w:val="0"/>
          <w:color w:val="auto"/>
          <w:sz w:val="32"/>
          <w:szCs w:val="32"/>
        </w:rPr>
        <w:t>万元，完成年初预算的</w:t>
      </w:r>
      <w:r>
        <w:rPr>
          <w:rFonts w:hint="eastAsia" w:ascii="仿宋_GB2312" w:hAnsi="ˎ̥" w:eastAsia="仿宋_GB2312"/>
          <w:b w:val="0"/>
          <w:bCs w:val="0"/>
          <w:color w:val="auto"/>
          <w:sz w:val="32"/>
          <w:szCs w:val="32"/>
          <w:lang w:val="en-US" w:eastAsia="zh-CN"/>
        </w:rPr>
        <w:t>100</w:t>
      </w:r>
      <w:r>
        <w:rPr>
          <w:rFonts w:hint="eastAsia" w:ascii="仿宋_GB2312" w:hAnsi="ˎ̥" w:eastAsia="仿宋_GB2312"/>
          <w:b w:val="0"/>
          <w:bCs w:val="0"/>
          <w:color w:val="auto"/>
          <w:sz w:val="32"/>
          <w:szCs w:val="32"/>
        </w:rPr>
        <w:t>%。</w:t>
      </w:r>
    </w:p>
    <w:p>
      <w:pPr>
        <w:ind w:firstLine="640" w:firstLineChars="200"/>
        <w:rPr>
          <w:rFonts w:hint="eastAsia" w:ascii="仿宋_GB2312" w:hAnsi="ˎ̥" w:eastAsia="仿宋_GB2312"/>
          <w:b w:val="0"/>
          <w:bCs w:val="0"/>
          <w:color w:val="auto"/>
          <w:sz w:val="32"/>
          <w:szCs w:val="32"/>
        </w:rPr>
      </w:pPr>
      <w:r>
        <w:rPr>
          <w:rFonts w:hint="eastAsia" w:ascii="仿宋_GB2312" w:hAnsi="ˎ̥" w:eastAsia="仿宋_GB2312"/>
          <w:b w:val="0"/>
          <w:bCs w:val="0"/>
          <w:color w:val="auto"/>
          <w:sz w:val="32"/>
          <w:szCs w:val="32"/>
          <w:lang w:val="en-US" w:eastAsia="zh-CN"/>
        </w:rPr>
        <w:t>2.</w:t>
      </w:r>
      <w:r>
        <w:rPr>
          <w:rFonts w:hint="eastAsia" w:ascii="仿宋_GB2312" w:hAnsi="ˎ̥" w:eastAsia="仿宋_GB2312"/>
          <w:b w:val="0"/>
          <w:bCs w:val="0"/>
          <w:color w:val="auto"/>
          <w:sz w:val="32"/>
          <w:szCs w:val="32"/>
        </w:rPr>
        <w:t>住房保障（类）年初预算为</w:t>
      </w:r>
      <w:r>
        <w:rPr>
          <w:rFonts w:hint="eastAsia" w:ascii="仿宋_GB2312" w:hAnsi="ˎ̥" w:eastAsia="仿宋_GB2312"/>
          <w:b w:val="0"/>
          <w:bCs w:val="0"/>
          <w:color w:val="auto"/>
          <w:sz w:val="32"/>
          <w:szCs w:val="32"/>
          <w:lang w:val="en-US" w:eastAsia="zh-CN"/>
        </w:rPr>
        <w:t>16.45</w:t>
      </w:r>
      <w:r>
        <w:rPr>
          <w:rFonts w:hint="eastAsia" w:ascii="仿宋_GB2312" w:hAnsi="ˎ̥" w:eastAsia="仿宋_GB2312"/>
          <w:b w:val="0"/>
          <w:bCs w:val="0"/>
          <w:color w:val="auto"/>
          <w:sz w:val="32"/>
          <w:szCs w:val="32"/>
        </w:rPr>
        <w:t>万元，支出决算为</w:t>
      </w:r>
      <w:r>
        <w:rPr>
          <w:rFonts w:hint="eastAsia" w:ascii="仿宋_GB2312" w:hAnsi="ˎ̥" w:eastAsia="仿宋_GB2312"/>
          <w:b w:val="0"/>
          <w:bCs w:val="0"/>
          <w:color w:val="auto"/>
          <w:sz w:val="32"/>
          <w:szCs w:val="32"/>
          <w:lang w:val="en-US" w:eastAsia="zh-CN"/>
        </w:rPr>
        <w:t>16.45</w:t>
      </w:r>
      <w:r>
        <w:rPr>
          <w:rFonts w:hint="eastAsia" w:ascii="仿宋_GB2312" w:hAnsi="ˎ̥" w:eastAsia="仿宋_GB2312"/>
          <w:b w:val="0"/>
          <w:bCs w:val="0"/>
          <w:color w:val="auto"/>
          <w:sz w:val="32"/>
          <w:szCs w:val="32"/>
        </w:rPr>
        <w:t>万元，完成年初预算的</w:t>
      </w:r>
      <w:r>
        <w:rPr>
          <w:rFonts w:hint="eastAsia" w:ascii="仿宋_GB2312" w:hAnsi="ˎ̥" w:eastAsia="仿宋_GB2312"/>
          <w:b w:val="0"/>
          <w:bCs w:val="0"/>
          <w:color w:val="auto"/>
          <w:sz w:val="32"/>
          <w:szCs w:val="32"/>
          <w:lang w:val="en-US" w:eastAsia="zh-CN"/>
        </w:rPr>
        <w:t>100</w:t>
      </w:r>
      <w:r>
        <w:rPr>
          <w:rFonts w:hint="eastAsia" w:ascii="仿宋_GB2312" w:hAnsi="ˎ̥" w:eastAsia="仿宋_GB2312"/>
          <w:b w:val="0"/>
          <w:bCs w:val="0"/>
          <w:color w:val="auto"/>
          <w:sz w:val="32"/>
          <w:szCs w:val="32"/>
        </w:rPr>
        <w:t>%。</w:t>
      </w:r>
    </w:p>
    <w:p>
      <w:pPr>
        <w:ind w:firstLine="640" w:firstLineChars="200"/>
        <w:rPr>
          <w:rFonts w:hint="eastAsia" w:ascii="仿宋_GB2312" w:hAnsi="ˎ̥" w:eastAsia="仿宋_GB2312"/>
          <w:color w:val="auto"/>
          <w:sz w:val="32"/>
          <w:szCs w:val="32"/>
        </w:rPr>
      </w:pPr>
      <w:r>
        <w:rPr>
          <w:rFonts w:hint="eastAsia" w:ascii="仿宋_GB2312" w:hAnsi="ˎ̥" w:eastAsia="仿宋_GB2312"/>
          <w:color w:val="auto"/>
          <w:sz w:val="32"/>
          <w:szCs w:val="32"/>
          <w:lang w:val="en-US" w:eastAsia="zh-CN"/>
        </w:rPr>
        <w:t>3.卫生健康</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37.44</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37.44</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p>
    <w:p>
      <w:pPr>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auto"/>
          <w:sz w:val="32"/>
          <w:szCs w:val="32"/>
          <w:lang w:val="en-US" w:eastAsia="zh-CN"/>
        </w:rPr>
        <w:t>4.农林水（类）</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394.14</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394.14</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251.47</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237.46</w:t>
      </w:r>
      <w:r>
        <w:rPr>
          <w:rFonts w:hint="eastAsia" w:ascii="仿宋_GB2312" w:hAnsi="ˎ̥" w:eastAsia="仿宋_GB2312"/>
          <w:color w:val="000000"/>
          <w:sz w:val="32"/>
          <w:szCs w:val="32"/>
          <w:highlight w:val="none"/>
        </w:rPr>
        <w:t>万元，主要包括：工资福利支出中的基本工资、津贴补贴、绩效工资、机关事业单位基本养老保险缴费、职工基本医疗保险缴费、公务员医疗补助缴费、其他社会保障缴费、住房公积金；对个人和家庭的补助中的生活补助。公用经费</w:t>
      </w:r>
      <w:r>
        <w:rPr>
          <w:rFonts w:hint="eastAsia" w:ascii="仿宋_GB2312" w:hAnsi="ˎ̥" w:eastAsia="仿宋_GB2312"/>
          <w:color w:val="000000"/>
          <w:sz w:val="32"/>
          <w:szCs w:val="32"/>
          <w:highlight w:val="none"/>
          <w:lang w:val="en-US" w:eastAsia="zh-CN"/>
        </w:rPr>
        <w:t>14.01</w:t>
      </w:r>
      <w:r>
        <w:rPr>
          <w:rFonts w:hint="eastAsia" w:ascii="仿宋_GB2312" w:hAnsi="ˎ̥" w:eastAsia="仿宋_GB2312"/>
          <w:color w:val="000000"/>
          <w:sz w:val="32"/>
          <w:szCs w:val="32"/>
          <w:highlight w:val="none"/>
        </w:rPr>
        <w:t>万元，主要包括：商品和服务支出中的办公费、电费、邮电费、差旅费、劳务费、工会经费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其他商品和服务支出；资本性支出中的办公设备购置</w:t>
      </w:r>
      <w:r>
        <w:rPr>
          <w:rFonts w:hint="eastAsia" w:ascii="仿宋_GB2312" w:hAnsi="ˎ̥" w:eastAsia="仿宋_GB2312"/>
          <w:color w:val="000000"/>
          <w:sz w:val="32"/>
          <w:szCs w:val="32"/>
          <w:highlight w:val="none"/>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万元。与2021年度相比，政府性基金预算财政拨款支出</w:t>
      </w:r>
      <w:r>
        <w:rPr>
          <w:rFonts w:hint="eastAsia" w:ascii="仿宋_GB2312" w:hAnsi="ˎ̥" w:eastAsia="仿宋_GB2312"/>
          <w:color w:val="000000"/>
          <w:sz w:val="32"/>
          <w:szCs w:val="32"/>
          <w:highlight w:val="none"/>
          <w:lang w:val="en-US" w:eastAsia="zh-CN"/>
        </w:rPr>
        <w:t>不变</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万元。与2021年度相比，国有资本经营预算财政拨款支出</w:t>
      </w:r>
      <w:r>
        <w:rPr>
          <w:rFonts w:hint="eastAsia" w:ascii="仿宋_GB2312" w:hAnsi="ˎ̥" w:eastAsia="仿宋_GB2312"/>
          <w:color w:val="000000"/>
          <w:sz w:val="32"/>
          <w:szCs w:val="32"/>
          <w:highlight w:val="none"/>
          <w:lang w:val="en-US" w:eastAsia="zh-CN"/>
        </w:rPr>
        <w:t>不变</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val="en-US" w:eastAsia="zh-CN"/>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val="en-US" w:eastAsia="zh-CN"/>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w:t>
      </w:r>
      <w:r>
        <w:rPr>
          <w:rFonts w:hint="eastAsia" w:ascii="楷体" w:hAnsi="楷体" w:eastAsia="楷体" w:cs="楷体"/>
          <w:color w:val="auto"/>
          <w:sz w:val="32"/>
          <w:szCs w:val="32"/>
          <w:highlight w:val="none"/>
        </w:rPr>
        <w:t>（二）财政拨款“三公”经费支出决算具体情况说明。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2022年度财政拨款“三公”经费支出决算中，因公出国（境）费支出决算</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万元；公务用车购置及运行维护费支出决算</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万元；公务接待费支出决算</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auto"/>
          <w:sz w:val="32"/>
          <w:szCs w:val="32"/>
          <w:highlight w:val="none"/>
        </w:rPr>
      </w:pPr>
      <w:r>
        <w:rPr>
          <w:rFonts w:hint="eastAsia" w:ascii="仿宋_GB2312" w:hAnsi="ˎ̥" w:eastAsia="仿宋_GB2312"/>
          <w:b/>
          <w:color w:val="auto"/>
          <w:sz w:val="32"/>
          <w:szCs w:val="32"/>
          <w:highlight w:val="none"/>
        </w:rPr>
        <w:t>1.因公出国（境）费</w:t>
      </w:r>
      <w:r>
        <w:rPr>
          <w:rFonts w:hint="eastAsia" w:ascii="仿宋_GB2312" w:hAnsi="ˎ̥" w:eastAsia="仿宋_GB2312"/>
          <w:color w:val="auto"/>
          <w:sz w:val="32"/>
          <w:szCs w:val="32"/>
          <w:highlight w:val="none"/>
        </w:rPr>
        <w:t>支出</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万元。全年安排因公出国（境）团组</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个，因公出国（境）</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Cs/>
          <w:color w:val="auto"/>
          <w:sz w:val="32"/>
          <w:szCs w:val="32"/>
          <w:highlight w:val="none"/>
        </w:rPr>
      </w:pPr>
      <w:r>
        <w:rPr>
          <w:rFonts w:hint="eastAsia" w:ascii="仿宋_GB2312" w:hAnsi="ˎ̥" w:eastAsia="仿宋_GB2312"/>
          <w:b/>
          <w:color w:val="auto"/>
          <w:sz w:val="32"/>
          <w:szCs w:val="32"/>
          <w:highlight w:val="none"/>
        </w:rPr>
        <w:t>2.公务用车购置及运行维护费支出</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auto"/>
          <w:sz w:val="32"/>
          <w:szCs w:val="32"/>
          <w:highlight w:val="none"/>
        </w:rPr>
      </w:pPr>
      <w:r>
        <w:rPr>
          <w:rFonts w:hint="eastAsia" w:ascii="仿宋_GB2312" w:hAnsi="ˎ̥" w:eastAsia="仿宋_GB2312"/>
          <w:b/>
          <w:color w:val="auto"/>
          <w:sz w:val="32"/>
          <w:szCs w:val="32"/>
          <w:highlight w:val="none"/>
        </w:rPr>
        <w:t>3.公务接待费支出</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highlight w:val="none"/>
        </w:rPr>
        <w:t>万元</w:t>
      </w:r>
      <w:r>
        <w:rPr>
          <w:rFonts w:hint="eastAsia" w:ascii="仿宋_GB2312" w:hAnsi="ˎ̥"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十、预算绩效情况说明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（一）绩效管理工作开展情况。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根据预算管理要求，我单位组织对</w:t>
      </w:r>
      <w:r>
        <w:rPr>
          <w:rFonts w:hint="eastAsia" w:ascii="仿宋_GB2312" w:eastAsia="仿宋_GB2312"/>
          <w:color w:val="auto"/>
          <w:sz w:val="32"/>
          <w:szCs w:val="32"/>
          <w:highlight w:val="none"/>
          <w:lang w:eastAsia="zh-CN"/>
        </w:rPr>
        <w:t>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eastAsia="zh-CN"/>
        </w:rPr>
        <w:t>年度</w:t>
      </w:r>
      <w:r>
        <w:rPr>
          <w:rFonts w:hint="eastAsia" w:ascii="仿宋_GB2312" w:eastAsia="仿宋_GB2312"/>
          <w:color w:val="auto"/>
          <w:sz w:val="32"/>
          <w:szCs w:val="32"/>
          <w:highlight w:val="none"/>
        </w:rPr>
        <w:t>一般公共预算项目支出全面开展绩效自评。</w:t>
      </w:r>
      <w:r>
        <w:rPr>
          <w:rFonts w:hint="eastAsia" w:ascii="仿宋_GB2312" w:hAnsi="Times New Roman" w:eastAsia="仿宋_GB2312" w:cs="Times New Roman"/>
          <w:color w:val="auto"/>
          <w:kern w:val="2"/>
          <w:sz w:val="32"/>
          <w:szCs w:val="32"/>
          <w:highlight w:val="none"/>
          <w:lang w:val="en-US" w:eastAsia="zh-CN" w:bidi="ar"/>
        </w:rPr>
        <w:t>其中，自评项目8个，共涉及资金251.48万元，占一般公共预算项目支出总额的52.76%。无政府性基金预算项目，无国有资本经营预算项目。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（二）单位决算中项目绩效自评结果。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（三）部门评价结果。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（四）财政评价结果。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eastAsia="zh-CN"/>
        </w:rPr>
      </w:pPr>
      <w:r>
        <w:rPr>
          <w:rFonts w:hint="eastAsia" w:ascii="楷体" w:hAnsi="楷体" w:eastAsia="楷体" w:cs="楷体"/>
          <w:b w:val="0"/>
          <w:bCs/>
          <w:color w:val="auto"/>
          <w:sz w:val="32"/>
          <w:szCs w:val="32"/>
          <w:highlight w:val="none"/>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FF"/>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15262_WPSOffice_Level2"/>
      <w:bookmarkStart w:id="96" w:name="_Toc23598_WPSOffice_Level2"/>
      <w:bookmarkStart w:id="97" w:name="_Toc32639_WPSOffice_Level2"/>
      <w:bookmarkStart w:id="98" w:name="_Toc18325_WPSOffice_Level2"/>
      <w:bookmarkStart w:id="99" w:name="_Toc5978_WPSOffice_Level2"/>
      <w:bookmarkStart w:id="100" w:name="_Toc15565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ind w:firstLine="640" w:firstLineChars="200"/>
        <w:rPr>
          <w:rFonts w:hint="eastAsia" w:ascii="楷体" w:hAnsi="楷体" w:eastAsia="楷体" w:cs="楷体"/>
          <w:b/>
          <w:color w:val="auto"/>
          <w:sz w:val="32"/>
          <w:szCs w:val="32"/>
        </w:rPr>
      </w:pPr>
      <w:bookmarkStart w:id="101" w:name="_Toc23966_WPSOffice_Level2"/>
      <w:bookmarkStart w:id="102" w:name="_Toc13084_WPSOffice_Level2"/>
      <w:bookmarkStart w:id="103" w:name="_Toc3131_WPSOffice_Level2"/>
      <w:bookmarkStart w:id="104" w:name="_Toc32689_WPSOffice_Level2"/>
      <w:bookmarkStart w:id="105" w:name="_Toc25333_WPSOffice_Level2"/>
      <w:bookmarkStart w:id="106" w:name="_Toc30383_WPSOffice_Level2"/>
      <w:r>
        <w:rPr>
          <w:rFonts w:hint="eastAsia" w:ascii="仿宋_GB2312" w:hAnsi="ˎ̥" w:eastAsia="仿宋_GB2312"/>
          <w:color w:val="auto"/>
          <w:sz w:val="32"/>
          <w:szCs w:val="32"/>
          <w:lang w:val="en-US" w:eastAsia="zh-CN"/>
        </w:rPr>
        <w:t>本单位为</w:t>
      </w:r>
      <w:r>
        <w:rPr>
          <w:rFonts w:hint="eastAsia" w:ascii="仿宋_GB2312" w:hAnsi="ˎ̥" w:eastAsia="仿宋_GB2312"/>
          <w:color w:val="auto"/>
          <w:sz w:val="32"/>
          <w:szCs w:val="32"/>
          <w:lang w:eastAsia="zh-CN"/>
        </w:rPr>
        <w:t>事业单位，没有机关运行经费支出</w:t>
      </w:r>
      <w:r>
        <w:rPr>
          <w:rFonts w:hint="eastAsia" w:ascii="仿宋_GB2312" w:hAnsi="ˎ̥"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我</w:t>
      </w:r>
      <w:r>
        <w:rPr>
          <w:rFonts w:hint="eastAsia" w:ascii="仿宋_GB2312" w:hAnsi="ˎ̥" w:eastAsia="仿宋_GB2312"/>
          <w:color w:val="000000"/>
          <w:sz w:val="32"/>
          <w:szCs w:val="32"/>
          <w:highlight w:val="none"/>
        </w:rPr>
        <w:t>单位政府采购支出总额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10902_WPSOffice_Level2"/>
      <w:bookmarkStart w:id="108" w:name="_Toc6016_WPSOffice_Level2"/>
      <w:bookmarkStart w:id="109" w:name="_Toc29584_WPSOffice_Level2"/>
      <w:bookmarkStart w:id="110" w:name="_Toc15129_WPSOffice_Level2"/>
      <w:bookmarkStart w:id="111" w:name="_Toc527_WPSOffice_Level2"/>
      <w:bookmarkStart w:id="112" w:name="_Toc19989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cs="Times New Roman"/>
          <w:sz w:val="32"/>
          <w:szCs w:val="32"/>
        </w:rPr>
      </w:pPr>
      <w:bookmarkStart w:id="113" w:name="_Toc8808_WPSOffice_Level1"/>
      <w:bookmarkStart w:id="114" w:name="_Toc11039_WPSOffice_Level1"/>
      <w:bookmarkStart w:id="115" w:name="_Toc8874_WPSOffice_Level1"/>
      <w:bookmarkStart w:id="116" w:name="_Toc4398_WPSOffice_Level1"/>
      <w:bookmarkStart w:id="117" w:name="_Toc15425_WPSOffice_Level1"/>
      <w:bookmarkStart w:id="118" w:name="_Toc17580_WPSOffice_Level1"/>
      <w:r>
        <w:rPr>
          <w:rFonts w:hint="eastAsia" w:ascii="仿宋_GB2312" w:hAnsi="ˎ̥" w:eastAsia="仿宋_GB2312" w:cs="Times New Roman"/>
          <w:sz w:val="32"/>
          <w:szCs w:val="32"/>
        </w:rPr>
        <w:t>截至</w:t>
      </w:r>
      <w:r>
        <w:rPr>
          <w:rFonts w:hint="eastAsia" w:ascii="仿宋_GB2312" w:hAnsi="ˎ̥" w:eastAsia="仿宋_GB2312" w:cs="Times New Roman"/>
          <w:sz w:val="32"/>
          <w:szCs w:val="32"/>
          <w:lang w:eastAsia="zh-CN"/>
        </w:rPr>
        <w:t>2022年</w:t>
      </w:r>
      <w:r>
        <w:rPr>
          <w:rFonts w:hint="eastAsia" w:ascii="仿宋_GB2312" w:hAnsi="ˎ̥" w:eastAsia="仿宋_GB2312" w:cs="Times New Roman"/>
          <w:sz w:val="32"/>
          <w:szCs w:val="32"/>
        </w:rPr>
        <w:t>12月31日，本单位占用房屋面积0平方米。</w:t>
      </w:r>
    </w:p>
    <w:p>
      <w:pPr>
        <w:spacing w:line="578" w:lineRule="exact"/>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本单位共有车辆0辆。</w:t>
      </w:r>
    </w:p>
    <w:p>
      <w:pPr>
        <w:spacing w:line="578" w:lineRule="exact"/>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textAlignment w:val="auto"/>
        <w:rPr>
          <w:color w:val="000000"/>
          <w:highlight w:val="none"/>
        </w:rPr>
      </w:pP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EDC0F"/>
    <w:multiLevelType w:val="singleLevel"/>
    <w:tmpl w:val="979EDC0F"/>
    <w:lvl w:ilvl="0" w:tentative="0">
      <w:start w:val="1"/>
      <w:numFmt w:val="chineseCounting"/>
      <w:suff w:val="nothing"/>
      <w:lvlText w:val="%1、"/>
      <w:lvlJc w:val="left"/>
      <w:rPr>
        <w:rFonts w:hint="eastAsia"/>
      </w:r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BB407F31"/>
    <w:multiLevelType w:val="singleLevel"/>
    <w:tmpl w:val="BB407F31"/>
    <w:lvl w:ilvl="0" w:tentative="0">
      <w:start w:val="1"/>
      <w:numFmt w:val="chineseCounting"/>
      <w:suff w:val="nothing"/>
      <w:lvlText w:val="%1、"/>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GRkNmI2ZmNmOTY5MjBlZTMxNzZlYzFmNDIzNzQifQ=="/>
  </w:docVars>
  <w:rsids>
    <w:rsidRoot w:val="00172A27"/>
    <w:rsid w:val="00064A91"/>
    <w:rsid w:val="000718C4"/>
    <w:rsid w:val="000779B0"/>
    <w:rsid w:val="001E4E23"/>
    <w:rsid w:val="001E510D"/>
    <w:rsid w:val="001F28C1"/>
    <w:rsid w:val="001F4EC0"/>
    <w:rsid w:val="00213789"/>
    <w:rsid w:val="002A6E07"/>
    <w:rsid w:val="003D2F77"/>
    <w:rsid w:val="004D515A"/>
    <w:rsid w:val="005C43A2"/>
    <w:rsid w:val="00602EED"/>
    <w:rsid w:val="00731FC7"/>
    <w:rsid w:val="00754F6E"/>
    <w:rsid w:val="009A2744"/>
    <w:rsid w:val="00A54A37"/>
    <w:rsid w:val="00AC28EE"/>
    <w:rsid w:val="00B36E61"/>
    <w:rsid w:val="00B409FF"/>
    <w:rsid w:val="00BC0439"/>
    <w:rsid w:val="00CA0F14"/>
    <w:rsid w:val="00CB0D1E"/>
    <w:rsid w:val="00DB612B"/>
    <w:rsid w:val="00DC2A37"/>
    <w:rsid w:val="00F0336A"/>
    <w:rsid w:val="00F06DA9"/>
    <w:rsid w:val="00F25220"/>
    <w:rsid w:val="00FC03DC"/>
    <w:rsid w:val="01401F5A"/>
    <w:rsid w:val="01BE7323"/>
    <w:rsid w:val="036D1000"/>
    <w:rsid w:val="03D8291E"/>
    <w:rsid w:val="0402799B"/>
    <w:rsid w:val="04343332"/>
    <w:rsid w:val="04351B1E"/>
    <w:rsid w:val="0495080F"/>
    <w:rsid w:val="04AE7B23"/>
    <w:rsid w:val="06132627"/>
    <w:rsid w:val="06316315"/>
    <w:rsid w:val="067F3525"/>
    <w:rsid w:val="06A116ED"/>
    <w:rsid w:val="06FA2BAB"/>
    <w:rsid w:val="071C0D73"/>
    <w:rsid w:val="074D717F"/>
    <w:rsid w:val="09150170"/>
    <w:rsid w:val="0A1246B0"/>
    <w:rsid w:val="0A6273E5"/>
    <w:rsid w:val="0B185CF6"/>
    <w:rsid w:val="0B521208"/>
    <w:rsid w:val="0B52745A"/>
    <w:rsid w:val="0C0D4CB8"/>
    <w:rsid w:val="0C177D5B"/>
    <w:rsid w:val="0CA75583"/>
    <w:rsid w:val="0CE340E1"/>
    <w:rsid w:val="0E2055ED"/>
    <w:rsid w:val="0E370B89"/>
    <w:rsid w:val="10DB09A3"/>
    <w:rsid w:val="11F823DD"/>
    <w:rsid w:val="132A2A6A"/>
    <w:rsid w:val="136F98C7"/>
    <w:rsid w:val="13780E0E"/>
    <w:rsid w:val="137D703E"/>
    <w:rsid w:val="138A175B"/>
    <w:rsid w:val="14CF1B1B"/>
    <w:rsid w:val="14EA0703"/>
    <w:rsid w:val="15C727F2"/>
    <w:rsid w:val="16781D3E"/>
    <w:rsid w:val="17CA65CA"/>
    <w:rsid w:val="17EC4792"/>
    <w:rsid w:val="18037B16"/>
    <w:rsid w:val="18E42883"/>
    <w:rsid w:val="18EF453A"/>
    <w:rsid w:val="1A002777"/>
    <w:rsid w:val="1A5F124B"/>
    <w:rsid w:val="1AA650CC"/>
    <w:rsid w:val="1AFC5361"/>
    <w:rsid w:val="1CC61A56"/>
    <w:rsid w:val="1D5015FF"/>
    <w:rsid w:val="1DE7CF42"/>
    <w:rsid w:val="1E757A54"/>
    <w:rsid w:val="1E7C0107"/>
    <w:rsid w:val="1EB4167E"/>
    <w:rsid w:val="1EC91389"/>
    <w:rsid w:val="1F8F4381"/>
    <w:rsid w:val="1FA45952"/>
    <w:rsid w:val="200C59D1"/>
    <w:rsid w:val="20B41BC5"/>
    <w:rsid w:val="216E7FC6"/>
    <w:rsid w:val="22DD3655"/>
    <w:rsid w:val="23023BE5"/>
    <w:rsid w:val="2378337E"/>
    <w:rsid w:val="23DE58D7"/>
    <w:rsid w:val="23F71198"/>
    <w:rsid w:val="24417C14"/>
    <w:rsid w:val="24A86E33"/>
    <w:rsid w:val="259A3A7F"/>
    <w:rsid w:val="25E62821"/>
    <w:rsid w:val="27DC037F"/>
    <w:rsid w:val="280B2A12"/>
    <w:rsid w:val="28E02BEA"/>
    <w:rsid w:val="293935AF"/>
    <w:rsid w:val="29DB01C2"/>
    <w:rsid w:val="2BDA4BD6"/>
    <w:rsid w:val="2C4209CD"/>
    <w:rsid w:val="2D1759B5"/>
    <w:rsid w:val="2E5B7B24"/>
    <w:rsid w:val="2F25085E"/>
    <w:rsid w:val="2F577DF8"/>
    <w:rsid w:val="2F77098D"/>
    <w:rsid w:val="302E54F0"/>
    <w:rsid w:val="30913CD1"/>
    <w:rsid w:val="3163741B"/>
    <w:rsid w:val="33095DA0"/>
    <w:rsid w:val="344C5043"/>
    <w:rsid w:val="353510CF"/>
    <w:rsid w:val="366C6D72"/>
    <w:rsid w:val="367327A6"/>
    <w:rsid w:val="36AC3612"/>
    <w:rsid w:val="36AE600E"/>
    <w:rsid w:val="374C2700"/>
    <w:rsid w:val="37FDA7E2"/>
    <w:rsid w:val="383C2774"/>
    <w:rsid w:val="38804D57"/>
    <w:rsid w:val="389B56ED"/>
    <w:rsid w:val="38C03838"/>
    <w:rsid w:val="3A744447"/>
    <w:rsid w:val="3A7907C8"/>
    <w:rsid w:val="3A940645"/>
    <w:rsid w:val="3BFA0FCD"/>
    <w:rsid w:val="3C8F5568"/>
    <w:rsid w:val="3CEA6C43"/>
    <w:rsid w:val="3DD84CED"/>
    <w:rsid w:val="3F5605BF"/>
    <w:rsid w:val="3FB13A48"/>
    <w:rsid w:val="40752CC7"/>
    <w:rsid w:val="41173D7E"/>
    <w:rsid w:val="41C51A2C"/>
    <w:rsid w:val="4242307D"/>
    <w:rsid w:val="435412BA"/>
    <w:rsid w:val="43803E5D"/>
    <w:rsid w:val="43EF2D90"/>
    <w:rsid w:val="44CE0BF8"/>
    <w:rsid w:val="45EA380F"/>
    <w:rsid w:val="463371CF"/>
    <w:rsid w:val="46592588"/>
    <w:rsid w:val="46C6602A"/>
    <w:rsid w:val="46D544C0"/>
    <w:rsid w:val="47490A0A"/>
    <w:rsid w:val="480037BE"/>
    <w:rsid w:val="481538FA"/>
    <w:rsid w:val="48270D4B"/>
    <w:rsid w:val="4832149E"/>
    <w:rsid w:val="48D80297"/>
    <w:rsid w:val="499441BE"/>
    <w:rsid w:val="4B052E99"/>
    <w:rsid w:val="4B4762B3"/>
    <w:rsid w:val="4B8B7843"/>
    <w:rsid w:val="4BA6467C"/>
    <w:rsid w:val="4C1E4213"/>
    <w:rsid w:val="4C433C79"/>
    <w:rsid w:val="4CB66B41"/>
    <w:rsid w:val="4CDA2830"/>
    <w:rsid w:val="4CED5F6C"/>
    <w:rsid w:val="4D356796"/>
    <w:rsid w:val="4DAF2ABB"/>
    <w:rsid w:val="4DDF1FFB"/>
    <w:rsid w:val="4DEB7267"/>
    <w:rsid w:val="4DF3347D"/>
    <w:rsid w:val="4E0062C6"/>
    <w:rsid w:val="4E0833CC"/>
    <w:rsid w:val="4E2F2707"/>
    <w:rsid w:val="4E5E2FEC"/>
    <w:rsid w:val="4F485E36"/>
    <w:rsid w:val="4FA03191"/>
    <w:rsid w:val="501A1195"/>
    <w:rsid w:val="50606888"/>
    <w:rsid w:val="508D7BB9"/>
    <w:rsid w:val="50CB7844"/>
    <w:rsid w:val="50F97B1E"/>
    <w:rsid w:val="519B6306"/>
    <w:rsid w:val="523825B9"/>
    <w:rsid w:val="527C1C93"/>
    <w:rsid w:val="52E37F64"/>
    <w:rsid w:val="53073C53"/>
    <w:rsid w:val="532A5B93"/>
    <w:rsid w:val="534F6DE2"/>
    <w:rsid w:val="5405315D"/>
    <w:rsid w:val="541F4FCC"/>
    <w:rsid w:val="54523541"/>
    <w:rsid w:val="557C4540"/>
    <w:rsid w:val="55F67FAE"/>
    <w:rsid w:val="571B7CCD"/>
    <w:rsid w:val="58030761"/>
    <w:rsid w:val="583B4151"/>
    <w:rsid w:val="58CB127E"/>
    <w:rsid w:val="591470C9"/>
    <w:rsid w:val="59E24AD2"/>
    <w:rsid w:val="5AED1980"/>
    <w:rsid w:val="5AF2343A"/>
    <w:rsid w:val="5B767BC7"/>
    <w:rsid w:val="5BC546AB"/>
    <w:rsid w:val="5C1F025F"/>
    <w:rsid w:val="5CC93D27"/>
    <w:rsid w:val="5D375134"/>
    <w:rsid w:val="5D504448"/>
    <w:rsid w:val="5E435D5B"/>
    <w:rsid w:val="5F7C1524"/>
    <w:rsid w:val="5F7D3333"/>
    <w:rsid w:val="5FF4730D"/>
    <w:rsid w:val="60C24ABB"/>
    <w:rsid w:val="624502F4"/>
    <w:rsid w:val="626C3AD2"/>
    <w:rsid w:val="65984BDE"/>
    <w:rsid w:val="65F6184A"/>
    <w:rsid w:val="65F7100F"/>
    <w:rsid w:val="67E934CF"/>
    <w:rsid w:val="6922313D"/>
    <w:rsid w:val="69AB1384"/>
    <w:rsid w:val="69EB79D2"/>
    <w:rsid w:val="6A611A43"/>
    <w:rsid w:val="6C841A18"/>
    <w:rsid w:val="6D260D22"/>
    <w:rsid w:val="6E873A42"/>
    <w:rsid w:val="6E8E12EF"/>
    <w:rsid w:val="6F670F9B"/>
    <w:rsid w:val="6FD607DD"/>
    <w:rsid w:val="704C4F43"/>
    <w:rsid w:val="715F2A54"/>
    <w:rsid w:val="71BE777B"/>
    <w:rsid w:val="71FE226D"/>
    <w:rsid w:val="72113D4E"/>
    <w:rsid w:val="7258197D"/>
    <w:rsid w:val="731D3201"/>
    <w:rsid w:val="732A3518"/>
    <w:rsid w:val="735F4F8D"/>
    <w:rsid w:val="73724CC1"/>
    <w:rsid w:val="74024296"/>
    <w:rsid w:val="745B7503"/>
    <w:rsid w:val="7468383E"/>
    <w:rsid w:val="75ABE07F"/>
    <w:rsid w:val="77F55EC0"/>
    <w:rsid w:val="78911745"/>
    <w:rsid w:val="78B90C9C"/>
    <w:rsid w:val="78DD6CE7"/>
    <w:rsid w:val="79AB2CDA"/>
    <w:rsid w:val="79AE6327"/>
    <w:rsid w:val="7B695E21"/>
    <w:rsid w:val="7CCA3D48"/>
    <w:rsid w:val="7D747887"/>
    <w:rsid w:val="7DB0448C"/>
    <w:rsid w:val="7E5F9AA4"/>
    <w:rsid w:val="7EAFA869"/>
    <w:rsid w:val="7EE2719E"/>
    <w:rsid w:val="7FCB58E0"/>
    <w:rsid w:val="7FFAF586"/>
    <w:rsid w:val="8FFC8888"/>
    <w:rsid w:val="A7F73C99"/>
    <w:rsid w:val="BAAF9708"/>
    <w:rsid w:val="BFFD1316"/>
    <w:rsid w:val="D8BB1E73"/>
    <w:rsid w:val="D955173D"/>
    <w:rsid w:val="DDF4A437"/>
    <w:rsid w:val="DFDF7540"/>
    <w:rsid w:val="DFEBDA37"/>
    <w:rsid w:val="FEF5C0D4"/>
    <w:rsid w:val="FEFB63A4"/>
    <w:rsid w:val="FF23D46A"/>
    <w:rsid w:val="FF77658B"/>
    <w:rsid w:val="FF7FA20F"/>
    <w:rsid w:val="FFBFA98A"/>
    <w:rsid w:val="FFCF2E48"/>
    <w:rsid w:val="FFDB4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customStyle="1" w:styleId="8">
    <w:name w:val="WPSOffice手动目录 2"/>
    <w:qFormat/>
    <w:uiPriority w:val="0"/>
    <w:pPr>
      <w:ind w:leftChars="200"/>
    </w:pPr>
    <w:rPr>
      <w:lang w:val="en-US" w:eastAsia="zh-CN" w:bidi="ar-SA"/>
    </w:rPr>
  </w:style>
  <w:style w:type="paragraph" w:customStyle="1" w:styleId="9">
    <w:name w:val="WPSOffice手动目录 1"/>
    <w:qFormat/>
    <w:uiPriority w:val="0"/>
    <w:rPr>
      <w:lang w:val="en-US" w:eastAsia="zh-CN" w:bidi="ar-SA"/>
    </w:rPr>
  </w:style>
  <w:style w:type="paragraph" w:customStyle="1" w:styleId="10">
    <w:name w:val="正文1 Char Char Char"/>
    <w:basedOn w:val="1"/>
    <w:qFormat/>
    <w:uiPriority w:val="0"/>
    <w:pPr>
      <w:spacing w:line="360" w:lineRule="auto"/>
      <w:ind w:firstLine="200" w:firstLineChars="200"/>
    </w:pPr>
  </w:style>
  <w:style w:type="character" w:customStyle="1" w:styleId="11">
    <w:name w:val="批注框文本 Char"/>
    <w:link w:val="2"/>
    <w:uiPriority w:val="0"/>
    <w:rPr>
      <w:kern w:val="2"/>
      <w:sz w:val="18"/>
      <w:szCs w:val="18"/>
    </w:rPr>
  </w:style>
  <w:style w:type="character" w:customStyle="1" w:styleId="12">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1377</Words>
  <Characters>7851</Characters>
  <Lines>65</Lines>
  <Paragraphs>18</Paragraphs>
  <TotalTime>0</TotalTime>
  <ScaleCrop>false</ScaleCrop>
  <LinksUpToDate>false</LinksUpToDate>
  <CharactersWithSpaces>9210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2023-07-31T02:06:00Z</dcterms:created>
  <dc:creator>uos</dc:creator>
  <cp:lastModifiedBy>HH</cp:lastModifiedBy>
  <cp:lastPrinted>2023-10-23T02:18:16Z</cp:lastPrinted>
  <dcterms:modified xsi:type="dcterms:W3CDTF">2023-11-16T06:26:32Z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2724CA8DA2FE4F7CADE585D7A3B77FD0_13</vt:lpwstr>
  </property>
</Properties>
</file>