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lang w:eastAsia="zh-CN"/>
        </w:rPr>
      </w:pPr>
      <w:r>
        <w:rPr>
          <w:rFonts w:hint="eastAsia" w:ascii="黑体" w:hAnsi="ˎ̥" w:eastAsia="黑体"/>
          <w:color w:val="000000"/>
          <w:sz w:val="44"/>
          <w:szCs w:val="44"/>
          <w:highlight w:val="none"/>
          <w:lang w:eastAsia="zh-CN"/>
        </w:rPr>
        <w:t>海口市琼山区府城街道办事处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r>
        <w:rPr>
          <w:rFonts w:hint="eastAsia" w:ascii="黑体" w:hAnsi="ˎ̥" w:eastAsia="黑体"/>
          <w:color w:val="000000"/>
          <w:sz w:val="44"/>
          <w:szCs w:val="44"/>
          <w:highlight w:val="none"/>
        </w:rPr>
        <w:t>2022年度部门决算公开</w:t>
      </w:r>
      <w:r>
        <w:rPr>
          <w:rFonts w:ascii="黑体" w:hAnsi="ˎ̥" w:eastAsia="黑体"/>
          <w:color w:val="000000"/>
          <w:sz w:val="44"/>
          <w:szCs w:val="44"/>
          <w:highlight w:val="none"/>
        </w:rPr>
        <w:t>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1</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val="en-US" w:eastAsia="zh-CN"/>
        </w:rPr>
        <w:t>部门</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年度部门决算公开表</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2022年度部门决算情况说明</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10</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11</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12</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3</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4</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9</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val="en-US"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bookmarkEnd w:id="0"/>
      <w:r>
        <w:rPr>
          <w:rFonts w:hint="eastAsia"/>
          <w:color w:val="000000"/>
          <w:sz w:val="32"/>
          <w:szCs w:val="32"/>
          <w:highlight w:val="none"/>
          <w:lang w:val="en-US" w:eastAsia="zh-CN"/>
        </w:rPr>
        <w:t>0</w:t>
      </w:r>
    </w:p>
    <w:p>
      <w:pPr>
        <w:jc w:val="center"/>
        <w:rPr>
          <w:rFonts w:hint="eastAsia" w:ascii="黑体" w:hAnsi="ˎ̥" w:eastAsia="黑体"/>
          <w:color w:val="000000"/>
          <w:sz w:val="32"/>
          <w:szCs w:val="32"/>
          <w:highlight w:val="none"/>
        </w:rPr>
      </w:pPr>
      <w:bookmarkStart w:id="1" w:name="_Toc1704_WPSOffice_Level1"/>
      <w:bookmarkStart w:id="2" w:name="_Toc10049_WPSOffice_Level1"/>
      <w:bookmarkStart w:id="3" w:name="_Toc22941_WPSOffice_Level1"/>
      <w:bookmarkStart w:id="4" w:name="_Toc32433_WPSOffice_Level1"/>
      <w:bookmarkStart w:id="5" w:name="_Toc10720_WPSOffice_Level1"/>
      <w:bookmarkStart w:id="6" w:name="_Toc23465_WPSOffice_Level1"/>
      <w:bookmarkStart w:id="7" w:name="_Toc24238_WPSOffice_Level2"/>
      <w:bookmarkStart w:id="8" w:name="_Toc20205_WPSOffice_Level2"/>
      <w:bookmarkStart w:id="9" w:name="_Toc14159_WPSOffice_Level2"/>
      <w:bookmarkStart w:id="10" w:name="_Toc32622_WPSOffice_Level2"/>
      <w:bookmarkStart w:id="11" w:name="_Toc26580_WPSOffice_Level2"/>
      <w:bookmarkStart w:id="12" w:name="_Toc20274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sectPr>
          <w:footerReference r:id="rId3" w:type="even"/>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sectPr>
          <w:footerReference r:id="rId4" w:type="default"/>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 xml:space="preserve">第一部分  </w:t>
      </w:r>
      <w:bookmarkEnd w:id="1"/>
      <w:bookmarkEnd w:id="2"/>
      <w:bookmarkEnd w:id="3"/>
      <w:bookmarkEnd w:id="4"/>
      <w:bookmarkEnd w:id="5"/>
      <w:bookmarkEnd w:id="6"/>
      <w:r>
        <w:rPr>
          <w:rFonts w:hint="eastAsia" w:ascii="黑体" w:hAnsi="ˎ̥" w:eastAsia="黑体"/>
          <w:color w:val="000000"/>
          <w:sz w:val="32"/>
          <w:szCs w:val="32"/>
          <w:highlight w:val="none"/>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一、部门</w:t>
      </w:r>
      <w:bookmarkEnd w:id="7"/>
      <w:r>
        <w:rPr>
          <w:rFonts w:hint="eastAsia" w:ascii="黑体" w:hAnsi="黑体" w:eastAsia="黑体" w:cs="黑体"/>
          <w:color w:val="000000"/>
          <w:sz w:val="32"/>
          <w:szCs w:val="32"/>
          <w:highlight w:val="none"/>
        </w:rPr>
        <w:t>职责</w:t>
      </w:r>
      <w:bookmarkEnd w:id="8"/>
      <w:bookmarkEnd w:id="9"/>
      <w:bookmarkEnd w:id="10"/>
      <w:bookmarkEnd w:id="11"/>
      <w:bookmarkEnd w:id="12"/>
    </w:p>
    <w:p>
      <w:pPr>
        <w:pStyle w:val="10"/>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ˎ̥" w:eastAsia="仿宋_GB2312" w:cs="Times New Roman"/>
          <w:color w:val="000000"/>
          <w:kern w:val="2"/>
          <w:sz w:val="32"/>
          <w:szCs w:val="32"/>
          <w:highlight w:val="none"/>
          <w:lang w:val="en-US" w:eastAsia="zh-CN" w:bidi="ar-SA"/>
        </w:rPr>
      </w:pPr>
      <w:bookmarkStart w:id="13" w:name="_Toc24059_WPSOffice_Level2"/>
      <w:bookmarkStart w:id="14" w:name="_Toc4833_WPSOffice_Level2"/>
      <w:bookmarkStart w:id="15" w:name="_Toc17796_WPSOffice_Level2"/>
      <w:bookmarkStart w:id="16" w:name="_Toc24474_WPSOffice_Level2"/>
      <w:bookmarkStart w:id="17" w:name="_Toc6572_WPSOffice_Level2"/>
      <w:r>
        <w:rPr>
          <w:rFonts w:hint="eastAsia" w:ascii="仿宋_GB2312" w:hAnsi="ˎ̥" w:eastAsia="仿宋_GB2312" w:cs="Times New Roman"/>
          <w:color w:val="000000"/>
          <w:kern w:val="2"/>
          <w:sz w:val="32"/>
          <w:szCs w:val="32"/>
          <w:highlight w:val="none"/>
          <w:lang w:val="en-US" w:eastAsia="zh-CN" w:bidi="ar-SA"/>
        </w:rPr>
        <w:t>(一）贯彻执行党和国家的路线方针政策、法律法规及上级机关的决定和命令。</w:t>
      </w:r>
    </w:p>
    <w:p>
      <w:pPr>
        <w:pStyle w:val="10"/>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(二）负责基层党组织建设工作，指导和帮助社区居委会开展工作，发挥社区居委会的群众自治组织作用。</w:t>
      </w:r>
    </w:p>
    <w:p>
      <w:pPr>
        <w:pStyle w:val="10"/>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（三）负责精神文明建设工作，组织开展多种形式的群众性精神文明建设创建活动，构建和谐文化，培育文明风尚。社会专业管理事务。</w:t>
      </w:r>
    </w:p>
    <w:p>
      <w:pPr>
        <w:pStyle w:val="10"/>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（四）负责牵头协调各职能部门派驻在街道的机构，共同处理地区性、综合性的管理事务；监督和配合各职能部门做好。</w:t>
      </w:r>
    </w:p>
    <w:p>
      <w:pPr>
        <w:pStyle w:val="10"/>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（五）负责制定社会管理规划，加强社会管理综合治理工 作，妥善处理突发性、群体性事件，及时化解社会矛盾，维护居民的合法权益，维护社会和谐稳定。</w:t>
      </w:r>
    </w:p>
    <w:p>
      <w:pPr>
        <w:pStyle w:val="10"/>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（六）负责辖区内市容环境卫生、园林绿化、市政建设、</w:t>
      </w:r>
    </w:p>
    <w:p>
      <w:pPr>
        <w:pStyle w:val="10"/>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人口与计划生育、安全生产、征兵、民兵预备役、人民防空、爱国卫生等监督、管理、服务工作。</w:t>
      </w:r>
    </w:p>
    <w:p>
      <w:pPr>
        <w:pStyle w:val="10"/>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（七）协助有关部门做好环境保护、劳动就业、社会保障、拥军优属、优抚安置、社会救济、社会福利、卫生保健、食品安全、统计、侨务、民族宗教事务、“三防”等工作。</w:t>
      </w:r>
    </w:p>
    <w:p>
      <w:pPr>
        <w:pStyle w:val="10"/>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（八）向区人民政府反映居民群众的意见和要求，办理人民群众来信来访事项，做好为居民群众服务工作。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s="Times New Roman"/>
          <w:color w:val="000000"/>
          <w:kern w:val="2"/>
          <w:sz w:val="32"/>
          <w:szCs w:val="32"/>
          <w:highlight w:val="none"/>
          <w:lang w:val="en-US" w:eastAsia="zh-CN" w:bidi="ar-SA"/>
        </w:rPr>
      </w:pPr>
      <w:r>
        <w:rPr>
          <w:rFonts w:hint="eastAsia" w:ascii="仿宋_GB2312" w:hAnsi="ˎ̥" w:eastAsia="仿宋_GB2312" w:cs="Times New Roman"/>
          <w:color w:val="000000"/>
          <w:kern w:val="2"/>
          <w:sz w:val="32"/>
          <w:szCs w:val="32"/>
          <w:highlight w:val="none"/>
          <w:lang w:val="en-US" w:eastAsia="zh-CN" w:bidi="ar-SA"/>
        </w:rPr>
        <w:t>（九)承办区委、区政府和上级部门交办的其他工作。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二、机构设置</w:t>
      </w:r>
      <w:bookmarkEnd w:id="13"/>
      <w:bookmarkEnd w:id="14"/>
      <w:bookmarkEnd w:id="15"/>
      <w:bookmarkEnd w:id="16"/>
      <w:bookmarkEnd w:id="1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纳入</w:t>
      </w:r>
      <w:r>
        <w:rPr>
          <w:rFonts w:hint="eastAsia" w:ascii="仿宋_GB2312" w:hAnsi="ˎ̥" w:eastAsia="仿宋_GB2312"/>
          <w:color w:val="000000"/>
          <w:sz w:val="32"/>
          <w:szCs w:val="32"/>
          <w:highlight w:val="none"/>
          <w:lang w:eastAsia="zh-CN"/>
        </w:rPr>
        <w:t>海口市琼山区府城街道办事处</w:t>
      </w:r>
      <w:r>
        <w:rPr>
          <w:rFonts w:hint="eastAsia" w:ascii="仿宋_GB2312" w:hAnsi="ˎ̥" w:eastAsia="仿宋_GB2312"/>
          <w:color w:val="000000"/>
          <w:sz w:val="32"/>
          <w:szCs w:val="32"/>
          <w:highlight w:val="none"/>
        </w:rPr>
        <w:t>202</w:t>
      </w:r>
      <w:r>
        <w:rPr>
          <w:rFonts w:ascii="仿宋_GB2312" w:hAnsi="ˎ̥" w:eastAsia="仿宋_GB2312"/>
          <w:color w:val="000000"/>
          <w:sz w:val="32"/>
          <w:szCs w:val="32"/>
          <w:highlight w:val="none"/>
        </w:rPr>
        <w:t>2</w:t>
      </w:r>
      <w:r>
        <w:rPr>
          <w:rFonts w:hint="eastAsia" w:ascii="仿宋_GB2312" w:hAnsi="ˎ̥" w:eastAsia="仿宋_GB2312"/>
          <w:color w:val="000000"/>
          <w:sz w:val="32"/>
          <w:szCs w:val="32"/>
          <w:highlight w:val="none"/>
        </w:rPr>
        <w:t>年度部门决算编制范围的单位共</w:t>
      </w:r>
      <w:r>
        <w:rPr>
          <w:rFonts w:hint="eastAsia" w:ascii="仿宋_GB2312" w:hAnsi="ˎ̥" w:eastAsia="仿宋_GB2312"/>
          <w:color w:val="000000"/>
          <w:sz w:val="32"/>
          <w:szCs w:val="32"/>
          <w:highlight w:val="none"/>
          <w:lang w:val="en-US" w:eastAsia="zh-CN"/>
        </w:rPr>
        <w:t>3</w:t>
      </w:r>
      <w:r>
        <w:rPr>
          <w:rFonts w:hint="eastAsia" w:ascii="仿宋_GB2312" w:hAnsi="ˎ̥" w:eastAsia="仿宋_GB2312"/>
          <w:color w:val="000000"/>
          <w:sz w:val="32"/>
          <w:szCs w:val="32"/>
          <w:highlight w:val="none"/>
        </w:rPr>
        <w:t>个，包括：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18" w:name="_Toc25738_WPSOffice_Level2"/>
      <w:bookmarkStart w:id="19" w:name="_Toc24421_WPSOffice_Level2"/>
      <w:r>
        <w:rPr>
          <w:rFonts w:hint="eastAsia" w:ascii="楷体" w:hAnsi="楷体" w:eastAsia="楷体" w:cs="楷体"/>
          <w:color w:val="000000"/>
          <w:sz w:val="32"/>
          <w:szCs w:val="32"/>
          <w:highlight w:val="none"/>
        </w:rPr>
        <w:t>（一）</w:t>
      </w:r>
      <w:r>
        <w:rPr>
          <w:rFonts w:hint="eastAsia" w:ascii="楷体" w:hAnsi="楷体" w:eastAsia="楷体" w:cs="楷体"/>
          <w:color w:val="000000"/>
          <w:sz w:val="32"/>
          <w:szCs w:val="32"/>
          <w:highlight w:val="none"/>
          <w:lang w:eastAsia="zh-CN"/>
        </w:rPr>
        <w:t>海口市琼山区府城街道办事处</w:t>
      </w:r>
      <w:r>
        <w:rPr>
          <w:rFonts w:hint="eastAsia" w:ascii="楷体" w:hAnsi="楷体" w:eastAsia="楷体" w:cs="楷体"/>
          <w:color w:val="000000"/>
          <w:sz w:val="32"/>
          <w:szCs w:val="32"/>
          <w:highlight w:val="none"/>
        </w:rPr>
        <w:t>本级</w:t>
      </w:r>
      <w:bookmarkEnd w:id="18"/>
      <w:bookmarkEnd w:id="1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lang w:eastAsia="zh-CN"/>
        </w:rPr>
      </w:pPr>
      <w:bookmarkStart w:id="20" w:name="_Toc19721_WPSOffice_Level2"/>
      <w:bookmarkStart w:id="21" w:name="_Toc4442_WPSOffice_Level2"/>
      <w:r>
        <w:rPr>
          <w:rFonts w:hint="eastAsia" w:ascii="楷体" w:hAnsi="楷体" w:eastAsia="楷体" w:cs="楷体"/>
          <w:color w:val="000000"/>
          <w:sz w:val="32"/>
          <w:szCs w:val="32"/>
          <w:highlight w:val="none"/>
        </w:rPr>
        <w:t>（二）</w:t>
      </w:r>
      <w:bookmarkEnd w:id="20"/>
      <w:bookmarkEnd w:id="21"/>
      <w:r>
        <w:rPr>
          <w:rFonts w:hint="eastAsia" w:ascii="楷体" w:hAnsi="楷体" w:eastAsia="楷体" w:cs="楷体"/>
          <w:color w:val="000000"/>
          <w:sz w:val="32"/>
          <w:szCs w:val="32"/>
          <w:highlight w:val="none"/>
          <w:lang w:eastAsia="zh-CN"/>
        </w:rPr>
        <w:t>海口市琼山区府城街道综合行政执法中队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lang w:eastAsia="zh-CN"/>
        </w:rPr>
        <w:t>（三）海口市琼山区财政局府城财政所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22" w:name="_Toc28253_WPSOffice_Level1"/>
      <w:bookmarkStart w:id="23" w:name="_Toc6234_WPSOffice_Level1"/>
      <w:bookmarkStart w:id="24" w:name="_Toc8164_WPSOffice_Level1"/>
      <w:bookmarkStart w:id="25" w:name="_Toc30690_WPSOffice_Level1"/>
      <w:bookmarkStart w:id="26" w:name="_Toc15521_WPSOffice_Level1"/>
      <w:bookmarkStart w:id="27" w:name="_Toc30451_WPSOffice_Level1"/>
      <w:bookmarkStart w:id="28" w:name="_Toc6211_WPSOffice_Level2"/>
      <w:bookmarkStart w:id="29" w:name="_Toc32695_WPSOffice_Level2"/>
      <w:bookmarkStart w:id="30" w:name="_Toc11518_WPSOffice_Level2"/>
      <w:bookmarkStart w:id="31" w:name="_Toc8867_WPSOffice_Level2"/>
      <w:bookmarkStart w:id="32" w:name="_Toc4029_WPSOffice_Level2"/>
      <w:bookmarkStart w:id="33" w:name="_Toc32472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第二部分  2022年度部门决算公开报表</w:t>
      </w:r>
      <w:bookmarkEnd w:id="22"/>
      <w:bookmarkEnd w:id="23"/>
      <w:bookmarkEnd w:id="24"/>
      <w:bookmarkEnd w:id="25"/>
      <w:bookmarkEnd w:id="26"/>
      <w:bookmarkEnd w:id="27"/>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一、收入支出决算公开表</w:t>
      </w:r>
      <w:bookmarkEnd w:id="28"/>
      <w:bookmarkEnd w:id="29"/>
      <w:bookmarkEnd w:id="30"/>
      <w:bookmarkEnd w:id="31"/>
      <w:bookmarkEnd w:id="32"/>
      <w:bookmarkEnd w:id="33"/>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34" w:name="_Toc14349_WPSOffice_Level2"/>
      <w:bookmarkStart w:id="35" w:name="_Toc26621_WPSOffice_Level2"/>
      <w:bookmarkStart w:id="36" w:name="_Toc23139_WPSOffice_Level2"/>
      <w:bookmarkStart w:id="37" w:name="_Toc25608_WPSOffice_Level2"/>
      <w:bookmarkStart w:id="38" w:name="_Toc30334_WPSOffice_Level2"/>
      <w:bookmarkStart w:id="39" w:name="_Toc28622_WPSOffice_Level2"/>
      <w:r>
        <w:rPr>
          <w:rFonts w:hint="eastAsia" w:ascii="黑体" w:hAnsi="黑体" w:eastAsia="黑体" w:cs="黑体"/>
          <w:color w:val="000000"/>
          <w:sz w:val="32"/>
          <w:szCs w:val="32"/>
          <w:highlight w:val="none"/>
        </w:rPr>
        <w:t>二、收入决算公开表</w:t>
      </w:r>
      <w:bookmarkEnd w:id="34"/>
      <w:bookmarkEnd w:id="35"/>
      <w:bookmarkEnd w:id="36"/>
      <w:bookmarkEnd w:id="37"/>
      <w:bookmarkEnd w:id="38"/>
      <w:bookmarkEnd w:id="39"/>
      <w:bookmarkStart w:id="40" w:name="_Toc3262_WPSOffice_Level2"/>
      <w:bookmarkStart w:id="41" w:name="_Toc13854_WPSOffice_Level2"/>
      <w:bookmarkStart w:id="42" w:name="_Toc17858_WPSOffice_Level2"/>
      <w:bookmarkStart w:id="43" w:name="_Toc17626_WPSOffice_Level2"/>
      <w:bookmarkStart w:id="44" w:name="_Toc14658_WPSOffice_Level2"/>
      <w:bookmarkStart w:id="45" w:name="_Toc5489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三、支出决算公开表</w:t>
      </w:r>
      <w:bookmarkEnd w:id="40"/>
      <w:bookmarkEnd w:id="41"/>
      <w:bookmarkEnd w:id="42"/>
      <w:bookmarkEnd w:id="43"/>
      <w:bookmarkEnd w:id="44"/>
      <w:bookmarkEnd w:id="45"/>
      <w:bookmarkStart w:id="46" w:name="_Toc23591_WPSOffice_Level2"/>
      <w:bookmarkStart w:id="47" w:name="_Toc4265_WPSOffice_Level2"/>
      <w:bookmarkStart w:id="48" w:name="_Toc13701_WPSOffice_Level2"/>
      <w:bookmarkStart w:id="49" w:name="_Toc23493_WPSOffice_Level2"/>
      <w:bookmarkStart w:id="50" w:name="_Toc21415_WPSOffice_Level2"/>
      <w:bookmarkStart w:id="51" w:name="_Toc7988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四、财政拨款收入支出决算公开表</w:t>
      </w:r>
      <w:bookmarkEnd w:id="46"/>
      <w:bookmarkEnd w:id="47"/>
      <w:bookmarkEnd w:id="48"/>
      <w:bookmarkEnd w:id="49"/>
      <w:bookmarkEnd w:id="50"/>
      <w:bookmarkEnd w:id="51"/>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52" w:name="_Toc25166_WPSOffice_Level2"/>
      <w:bookmarkStart w:id="53" w:name="_Toc23829_WPSOffice_Level2"/>
      <w:bookmarkStart w:id="54" w:name="_Toc22783_WPSOffice_Level2"/>
      <w:bookmarkStart w:id="55" w:name="_Toc7879_WPSOffice_Level2"/>
      <w:bookmarkStart w:id="56" w:name="_Toc2158_WPSOffice_Level2"/>
      <w:bookmarkStart w:id="57" w:name="_Toc13516_WPSOffice_Level2"/>
      <w:r>
        <w:rPr>
          <w:rFonts w:hint="eastAsia" w:ascii="黑体" w:hAnsi="黑体" w:eastAsia="黑体" w:cs="黑体"/>
          <w:color w:val="000000"/>
          <w:sz w:val="32"/>
          <w:szCs w:val="32"/>
          <w:highlight w:val="none"/>
        </w:rPr>
        <w:t>五、一般公共预算财政拨款收入支出决算</w:t>
      </w:r>
      <w:bookmarkEnd w:id="52"/>
      <w:bookmarkEnd w:id="53"/>
      <w:bookmarkEnd w:id="54"/>
      <w:bookmarkEnd w:id="55"/>
      <w:r>
        <w:rPr>
          <w:rFonts w:hint="eastAsia" w:ascii="黑体" w:hAnsi="黑体" w:eastAsia="黑体" w:cs="黑体"/>
          <w:color w:val="000000"/>
          <w:sz w:val="32"/>
          <w:szCs w:val="32"/>
          <w:highlight w:val="none"/>
        </w:rPr>
        <w:t>公开表</w:t>
      </w:r>
      <w:bookmarkEnd w:id="56"/>
      <w:bookmarkEnd w:id="57"/>
      <w:bookmarkStart w:id="58" w:name="_Toc2632_WPSOffice_Level2"/>
      <w:bookmarkStart w:id="59" w:name="_Toc5343_WPSOffice_Level2"/>
      <w:bookmarkStart w:id="60" w:name="_Toc8373_WPSOffice_Level2"/>
      <w:bookmarkStart w:id="61" w:name="_Toc25362_WPSOffice_Level2"/>
      <w:bookmarkStart w:id="62" w:name="_Toc17283_WPSOffice_Level2"/>
      <w:bookmarkStart w:id="63" w:name="_Toc1783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六、一般公共预算财政拨款基本支出决算</w:t>
      </w:r>
      <w:bookmarkEnd w:id="58"/>
      <w:bookmarkEnd w:id="59"/>
      <w:bookmarkEnd w:id="60"/>
      <w:bookmarkEnd w:id="61"/>
      <w:bookmarkEnd w:id="62"/>
      <w:bookmarkEnd w:id="63"/>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bookmarkStart w:id="64" w:name="_Toc21310_WPSOffice_Level2"/>
      <w:bookmarkStart w:id="65" w:name="_Toc13345_WPSOffice_Level2"/>
      <w:bookmarkStart w:id="66" w:name="_Toc1533_WPSOffice_Level2"/>
      <w:bookmarkStart w:id="67" w:name="_Toc6020_WPSOffice_Level2"/>
      <w:bookmarkStart w:id="68" w:name="_Toc5594_WPSOffice_Level2"/>
      <w:bookmarkStart w:id="69" w:name="_Toc11799_WPSOffice_Level2"/>
      <w:r>
        <w:rPr>
          <w:rFonts w:hint="eastAsia" w:ascii="黑体" w:hAnsi="黑体" w:eastAsia="黑体" w:cs="黑体"/>
          <w:color w:val="000000"/>
          <w:sz w:val="32"/>
          <w:szCs w:val="32"/>
          <w:highlight w:val="none"/>
        </w:rPr>
        <w:t>七、政府性基金预算财政拨款收入支出决算</w:t>
      </w:r>
      <w:bookmarkEnd w:id="64"/>
      <w:bookmarkEnd w:id="65"/>
      <w:bookmarkEnd w:id="66"/>
      <w:bookmarkEnd w:id="67"/>
      <w:bookmarkEnd w:id="68"/>
      <w:bookmarkEnd w:id="69"/>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bookmarkStart w:id="70" w:name="_Toc9377_WPSOffice_Level2"/>
      <w:bookmarkStart w:id="71" w:name="_Toc29886_WPSOffice_Level2"/>
      <w:bookmarkStart w:id="72" w:name="_Toc1820_WPSOffice_Level2"/>
      <w:bookmarkStart w:id="73" w:name="_Toc19961_WPSOffice_Level2"/>
      <w:r>
        <w:rPr>
          <w:rFonts w:hint="eastAsia" w:ascii="黑体" w:hAnsi="黑体" w:eastAsia="黑体" w:cs="黑体"/>
          <w:color w:val="000000"/>
          <w:sz w:val="32"/>
          <w:szCs w:val="32"/>
          <w:highlight w:val="none"/>
        </w:rPr>
        <w:t>九、财政拨款“三公”经费支出决算</w:t>
      </w:r>
      <w:bookmarkEnd w:id="70"/>
      <w:bookmarkEnd w:id="71"/>
      <w:bookmarkEnd w:id="72"/>
      <w:bookmarkEnd w:id="73"/>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1</w:t>
      </w:r>
      <w:r>
        <w:rPr>
          <w:rFonts w:hint="eastAsia" w:ascii="黑体" w:hAnsi="黑体" w:eastAsia="黑体" w:cs="黑体"/>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74" w:name="_Toc31264_WPSOffice_Level1"/>
      <w:bookmarkStart w:id="75" w:name="_Toc28629_WPSOffice_Level1"/>
      <w:bookmarkStart w:id="76" w:name="_Toc4402_WPSOffice_Level1"/>
      <w:bookmarkStart w:id="77" w:name="_Toc16686_WPSOffice_Level1"/>
      <w:bookmarkStart w:id="78" w:name="_Toc27590_WPSOffice_Level1"/>
      <w:bookmarkStart w:id="79" w:name="_Toc29683_WPSOffice_Level1"/>
      <w:r>
        <w:rPr>
          <w:rFonts w:hint="eastAsia" w:ascii="黑体" w:hAnsi="ˎ̥" w:eastAsia="黑体"/>
          <w:color w:val="000000"/>
          <w:sz w:val="32"/>
          <w:szCs w:val="32"/>
          <w:highlight w:val="none"/>
        </w:rPr>
        <w:t>第三部分  2022年度部门决算情况说明</w:t>
      </w:r>
      <w:bookmarkEnd w:id="74"/>
      <w:bookmarkEnd w:id="75"/>
      <w:bookmarkEnd w:id="76"/>
      <w:bookmarkEnd w:id="77"/>
      <w:bookmarkEnd w:id="78"/>
      <w:bookmarkEnd w:id="79"/>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一、收入支出总体情况说明</w:t>
      </w:r>
      <w:r>
        <w:rPr>
          <w:rFonts w:hint="eastAsia" w:ascii="黑体" w:hAnsi="黑体" w:eastAsia="黑体" w:cs="黑体"/>
          <w:bCs/>
          <w:color w:val="000000"/>
          <w:sz w:val="32"/>
          <w:szCs w:val="32"/>
          <w:highlight w:val="none"/>
        </w:rPr>
        <w:br w:type="textWrapping"/>
      </w:r>
      <w:r>
        <w:rPr>
          <w:rFonts w:hint="eastAsia" w:ascii="楷体_GB2312" w:hAnsi="ˎ̥" w:eastAsia="楷体_GB2312"/>
          <w:color w:val="000000"/>
          <w:sz w:val="32"/>
          <w:szCs w:val="32"/>
          <w:highlight w:val="none"/>
        </w:rPr>
        <w:t xml:space="preserve">    </w:t>
      </w:r>
      <w:r>
        <w:rPr>
          <w:rFonts w:hint="eastAsia" w:ascii="仿宋_GB2312" w:hAnsi="ˎ̥" w:eastAsia="仿宋_GB2312"/>
          <w:color w:val="000000"/>
          <w:sz w:val="32"/>
          <w:szCs w:val="32"/>
          <w:highlight w:val="none"/>
        </w:rPr>
        <w:t>2022年度收入总计</w:t>
      </w:r>
      <w:r>
        <w:rPr>
          <w:rFonts w:hint="eastAsia" w:ascii="仿宋_GB2312" w:hAnsi="ˎ̥" w:eastAsia="仿宋_GB2312"/>
          <w:color w:val="000000"/>
          <w:sz w:val="32"/>
          <w:szCs w:val="32"/>
          <w:highlight w:val="none"/>
          <w:lang w:val="en-US" w:eastAsia="zh-CN"/>
        </w:rPr>
        <w:t>4825.06</w:t>
      </w:r>
      <w:r>
        <w:rPr>
          <w:rFonts w:hint="eastAsia" w:ascii="仿宋_GB2312" w:hAnsi="ˎ̥" w:eastAsia="仿宋_GB2312"/>
          <w:color w:val="000000"/>
          <w:sz w:val="32"/>
          <w:szCs w:val="32"/>
          <w:highlight w:val="none"/>
        </w:rPr>
        <w:t>万元，支出总计</w:t>
      </w:r>
      <w:r>
        <w:rPr>
          <w:rFonts w:hint="eastAsia" w:ascii="仿宋_GB2312" w:hAnsi="ˎ̥" w:eastAsia="仿宋_GB2312"/>
          <w:color w:val="000000"/>
          <w:sz w:val="32"/>
          <w:szCs w:val="32"/>
          <w:highlight w:val="none"/>
          <w:lang w:val="en-US" w:eastAsia="zh-CN"/>
        </w:rPr>
        <w:t>4825.06</w:t>
      </w:r>
      <w:r>
        <w:rPr>
          <w:rFonts w:hint="eastAsia" w:ascii="仿宋_GB2312" w:hAnsi="ˎ̥" w:eastAsia="仿宋_GB2312"/>
          <w:color w:val="000000"/>
          <w:sz w:val="32"/>
          <w:szCs w:val="32"/>
          <w:highlight w:val="none"/>
        </w:rPr>
        <w:t>万元，与2021年度相比，收入、支出总计各减少</w:t>
      </w:r>
      <w:r>
        <w:rPr>
          <w:rFonts w:hint="eastAsia" w:ascii="仿宋_GB2312" w:hAnsi="ˎ̥" w:eastAsia="仿宋_GB2312"/>
          <w:color w:val="000000"/>
          <w:sz w:val="32"/>
          <w:szCs w:val="32"/>
          <w:highlight w:val="none"/>
          <w:lang w:val="en-US" w:eastAsia="zh-CN"/>
        </w:rPr>
        <w:t>2954.29</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38</w:t>
      </w:r>
      <w:r>
        <w:rPr>
          <w:rFonts w:hint="eastAsia" w:ascii="仿宋_GB2312" w:hAnsi="ˎ̥" w:eastAsia="仿宋_GB2312"/>
          <w:color w:val="000000"/>
          <w:sz w:val="32"/>
          <w:szCs w:val="32"/>
          <w:highlight w:val="none"/>
        </w:rPr>
        <w:t>%。主要原因：一是一般公共预算财政拨款收入</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；二是政府性基金预算财政拨款收入</w:t>
      </w:r>
      <w:r>
        <w:rPr>
          <w:rFonts w:hint="eastAsia" w:ascii="仿宋_GB2312" w:hAnsi="ˎ̥" w:eastAsia="仿宋_GB2312"/>
          <w:color w:val="000000"/>
          <w:sz w:val="32"/>
          <w:szCs w:val="32"/>
          <w:highlight w:val="none"/>
          <w:lang w:eastAsia="zh-CN"/>
        </w:rPr>
        <w:t>减少；三是国有资本经营预算财政拨款收入减少；四是其他收入减少</w:t>
      </w:r>
      <w:r>
        <w:rPr>
          <w:rFonts w:hint="eastAsia" w:ascii="仿宋_GB2312" w:hAnsi="ˎ̥" w:eastAsia="仿宋_GB2312"/>
          <w:color w:val="000000"/>
          <w:sz w:val="32"/>
          <w:szCs w:val="32"/>
          <w:highlight w:val="none"/>
        </w:rPr>
        <w:t>。使用非财政拨款结余</w:t>
      </w:r>
      <w:r>
        <w:rPr>
          <w:rFonts w:hint="eastAsia" w:ascii="仿宋_GB2312" w:hAnsi="ˎ̥" w:eastAsia="仿宋_GB2312"/>
          <w:color w:val="000000"/>
          <w:sz w:val="32"/>
          <w:szCs w:val="32"/>
          <w:highlight w:val="none"/>
          <w:lang w:val="en-US" w:eastAsia="zh-CN"/>
        </w:rPr>
        <w:t>0.02</w:t>
      </w:r>
      <w:r>
        <w:rPr>
          <w:rFonts w:hint="eastAsia" w:ascii="仿宋_GB2312" w:hAnsi="ˎ̥" w:eastAsia="仿宋_GB2312"/>
          <w:color w:val="000000"/>
          <w:sz w:val="32"/>
          <w:szCs w:val="32"/>
          <w:highlight w:val="none"/>
        </w:rPr>
        <w:t>万元，较2021年度决算数增加</w:t>
      </w:r>
      <w:r>
        <w:rPr>
          <w:rFonts w:hint="eastAsia" w:ascii="仿宋_GB2312" w:hAnsi="ˎ̥" w:eastAsia="仿宋_GB2312"/>
          <w:color w:val="000000"/>
          <w:sz w:val="32"/>
          <w:szCs w:val="32"/>
          <w:highlight w:val="none"/>
          <w:lang w:val="en-US" w:eastAsia="zh-CN"/>
        </w:rPr>
        <w:t>0.02</w:t>
      </w:r>
      <w:r>
        <w:rPr>
          <w:rFonts w:hint="eastAsia" w:ascii="仿宋_GB2312" w:hAnsi="ˎ̥" w:eastAsia="仿宋_GB2312"/>
          <w:color w:val="000000"/>
          <w:sz w:val="32"/>
          <w:szCs w:val="32"/>
          <w:highlight w:val="none"/>
        </w:rPr>
        <w:t>万元，主要原因是</w:t>
      </w:r>
      <w:r>
        <w:rPr>
          <w:rFonts w:hint="eastAsia" w:ascii="仿宋_GB2312" w:hAnsi="ˎ̥" w:eastAsia="仿宋_GB2312"/>
          <w:sz w:val="32"/>
          <w:szCs w:val="32"/>
        </w:rPr>
        <w:t>支付银行账户手续费</w:t>
      </w:r>
      <w:r>
        <w:rPr>
          <w:rFonts w:hint="eastAsia" w:ascii="仿宋_GB2312" w:hAnsi="ˎ̥" w:eastAsia="仿宋_GB2312"/>
          <w:color w:val="000000"/>
          <w:sz w:val="32"/>
          <w:szCs w:val="32"/>
          <w:highlight w:val="none"/>
        </w:rPr>
        <w:t>。年初结转结余</w:t>
      </w:r>
      <w:r>
        <w:rPr>
          <w:rFonts w:hint="eastAsia" w:ascii="仿宋_GB2312" w:hAnsi="ˎ̥" w:eastAsia="仿宋_GB2312"/>
          <w:color w:val="000000"/>
          <w:sz w:val="32"/>
          <w:szCs w:val="32"/>
          <w:highlight w:val="none"/>
          <w:lang w:val="en-US" w:eastAsia="zh-CN"/>
        </w:rPr>
        <w:t>75.85</w:t>
      </w:r>
      <w:r>
        <w:rPr>
          <w:rFonts w:hint="eastAsia" w:ascii="仿宋_GB2312" w:hAnsi="ˎ̥" w:eastAsia="仿宋_GB2312"/>
          <w:color w:val="000000"/>
          <w:sz w:val="32"/>
          <w:szCs w:val="32"/>
          <w:highlight w:val="none"/>
        </w:rPr>
        <w:t>万元，主要是</w:t>
      </w:r>
      <w:r>
        <w:rPr>
          <w:rFonts w:hint="eastAsia" w:ascii="仿宋_GB2312" w:hAnsi="仿宋" w:eastAsia="仿宋_GB2312"/>
          <w:sz w:val="32"/>
          <w:szCs w:val="32"/>
        </w:rPr>
        <w:t>历年滚存资金和待缴</w:t>
      </w:r>
      <w:r>
        <w:rPr>
          <w:rFonts w:hint="eastAsia" w:ascii="仿宋_GB2312" w:hAnsi="ˎ̥" w:eastAsia="仿宋_GB2312"/>
          <w:color w:val="000000"/>
          <w:sz w:val="32"/>
          <w:szCs w:val="32"/>
          <w:highlight w:val="none"/>
        </w:rPr>
        <w:t>，较2021年度决算数减少</w:t>
      </w:r>
      <w:r>
        <w:rPr>
          <w:rFonts w:hint="eastAsia" w:ascii="仿宋_GB2312" w:hAnsi="ˎ̥" w:eastAsia="仿宋_GB2312"/>
          <w:color w:val="000000"/>
          <w:sz w:val="32"/>
          <w:szCs w:val="32"/>
          <w:highlight w:val="none"/>
          <w:lang w:val="en-US" w:eastAsia="zh-CN"/>
        </w:rPr>
        <w:t>443.25</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5.6</w:t>
      </w:r>
      <w:r>
        <w:rPr>
          <w:rFonts w:hint="eastAsia" w:ascii="仿宋_GB2312" w:hAnsi="ˎ̥" w:eastAsia="仿宋_GB2312"/>
          <w:color w:val="000000"/>
          <w:sz w:val="32"/>
          <w:szCs w:val="32"/>
          <w:highlight w:val="none"/>
        </w:rPr>
        <w:t>%，主要原因是</w:t>
      </w:r>
      <w:r>
        <w:rPr>
          <w:rFonts w:hint="eastAsia" w:ascii="仿宋_GB2312" w:hAnsi="仿宋" w:eastAsia="仿宋_GB2312"/>
          <w:sz w:val="32"/>
          <w:szCs w:val="32"/>
        </w:rPr>
        <w:t>历年滚存资金和待缴</w:t>
      </w:r>
      <w:r>
        <w:rPr>
          <w:rFonts w:hint="eastAsia" w:ascii="仿宋_GB2312" w:hAnsi="ˎ̥" w:eastAsia="仿宋_GB2312"/>
          <w:color w:val="000000"/>
          <w:sz w:val="32"/>
          <w:szCs w:val="32"/>
        </w:rPr>
        <w:t>减少</w:t>
      </w:r>
      <w:r>
        <w:rPr>
          <w:rFonts w:hint="eastAsia" w:ascii="仿宋_GB2312" w:hAnsi="ˎ̥" w:eastAsia="仿宋_GB2312"/>
          <w:color w:val="000000"/>
          <w:sz w:val="32"/>
          <w:szCs w:val="32"/>
          <w:highlight w:val="none"/>
        </w:rPr>
        <w:t>。结余分配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万元，主要是</w:t>
      </w:r>
      <w:r>
        <w:rPr>
          <w:rFonts w:hint="eastAsia" w:ascii="仿宋_GB2312" w:hAnsi="ˎ̥" w:eastAsia="仿宋_GB2312"/>
          <w:sz w:val="32"/>
          <w:szCs w:val="32"/>
        </w:rPr>
        <w:t>该项资金年度无支出</w:t>
      </w:r>
      <w:r>
        <w:rPr>
          <w:rFonts w:hint="eastAsia" w:ascii="仿宋_GB2312" w:hAnsi="ˎ̥" w:eastAsia="仿宋_GB2312"/>
          <w:color w:val="000000"/>
          <w:sz w:val="32"/>
          <w:szCs w:val="32"/>
          <w:highlight w:val="none"/>
        </w:rPr>
        <w:t>，较2021年度决算数增加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%，主要原因是</w:t>
      </w:r>
      <w:r>
        <w:rPr>
          <w:rFonts w:hint="eastAsia" w:ascii="仿宋_GB2312" w:hAnsi="ˎ̥" w:eastAsia="仿宋_GB2312"/>
          <w:sz w:val="32"/>
          <w:szCs w:val="32"/>
        </w:rPr>
        <w:t>该项资金年度无支出</w:t>
      </w:r>
      <w:r>
        <w:rPr>
          <w:rFonts w:hint="eastAsia" w:ascii="仿宋_GB2312" w:hAnsi="ˎ̥" w:eastAsia="仿宋_GB2312"/>
          <w:color w:val="000000"/>
          <w:sz w:val="32"/>
          <w:szCs w:val="32"/>
          <w:highlight w:val="none"/>
        </w:rPr>
        <w:t>。年末结转结余</w:t>
      </w:r>
      <w:r>
        <w:rPr>
          <w:rFonts w:hint="eastAsia" w:ascii="仿宋_GB2312" w:hAnsi="ˎ̥" w:eastAsia="仿宋_GB2312"/>
          <w:color w:val="000000"/>
          <w:sz w:val="32"/>
          <w:szCs w:val="32"/>
          <w:highlight w:val="none"/>
          <w:lang w:val="en-US" w:eastAsia="zh-CN"/>
        </w:rPr>
        <w:t>92.24</w:t>
      </w:r>
      <w:r>
        <w:rPr>
          <w:rFonts w:hint="eastAsia" w:ascii="仿宋_GB2312" w:hAnsi="ˎ̥" w:eastAsia="仿宋_GB2312"/>
          <w:color w:val="000000"/>
          <w:sz w:val="32"/>
          <w:szCs w:val="32"/>
          <w:highlight w:val="none"/>
        </w:rPr>
        <w:t>万元，主要是</w:t>
      </w:r>
      <w:r>
        <w:rPr>
          <w:rFonts w:hint="eastAsia" w:ascii="仿宋_GB2312" w:hAnsi="ˎ̥" w:eastAsia="仿宋_GB2312"/>
          <w:sz w:val="32"/>
          <w:szCs w:val="32"/>
        </w:rPr>
        <w:t>历年滚存资金和待缴</w:t>
      </w:r>
      <w:r>
        <w:rPr>
          <w:rFonts w:hint="eastAsia" w:ascii="仿宋_GB2312" w:hAnsi="ˎ̥" w:eastAsia="仿宋_GB2312"/>
          <w:color w:val="000000"/>
          <w:sz w:val="32"/>
          <w:szCs w:val="32"/>
          <w:highlight w:val="none"/>
        </w:rPr>
        <w:t>，较2021年度决算数增加</w:t>
      </w:r>
      <w:r>
        <w:rPr>
          <w:rFonts w:hint="eastAsia" w:ascii="仿宋_GB2312" w:hAnsi="ˎ̥" w:eastAsia="仿宋_GB2312"/>
          <w:color w:val="000000"/>
          <w:sz w:val="32"/>
          <w:szCs w:val="32"/>
          <w:highlight w:val="none"/>
          <w:lang w:val="en-US" w:eastAsia="zh-CN"/>
        </w:rPr>
        <w:t>13.14</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16.6</w:t>
      </w:r>
      <w:r>
        <w:rPr>
          <w:rFonts w:hint="eastAsia" w:ascii="仿宋_GB2312" w:hAnsi="ˎ̥" w:eastAsia="仿宋_GB2312"/>
          <w:color w:val="000000"/>
          <w:sz w:val="32"/>
          <w:szCs w:val="32"/>
          <w:highlight w:val="none"/>
        </w:rPr>
        <w:t>%，主要原因是</w:t>
      </w:r>
      <w:r>
        <w:rPr>
          <w:rFonts w:hint="eastAsia" w:ascii="仿宋_GB2312" w:hAnsi="ˎ̥" w:eastAsia="仿宋_GB2312"/>
          <w:sz w:val="32"/>
          <w:szCs w:val="32"/>
        </w:rPr>
        <w:t>历年滚存资金和待缴</w:t>
      </w:r>
      <w:r>
        <w:rPr>
          <w:rFonts w:hint="eastAsia" w:ascii="仿宋_GB2312" w:hAnsi="ˎ̥" w:eastAsia="仿宋_GB2312"/>
          <w:sz w:val="32"/>
          <w:szCs w:val="32"/>
          <w:lang w:eastAsia="zh-CN"/>
        </w:rPr>
        <w:t>增加</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二、收入决算情况说明</w:t>
      </w:r>
      <w:r>
        <w:rPr>
          <w:rFonts w:hint="eastAsia" w:ascii="黑体" w:hAnsi="黑体" w:eastAsia="黑体" w:cs="黑体"/>
          <w:bCs/>
          <w:color w:val="000000"/>
          <w:sz w:val="32"/>
          <w:szCs w:val="32"/>
          <w:highlight w:val="none"/>
        </w:rPr>
        <w:br w:type="textWrapping"/>
      </w:r>
      <w:r>
        <w:rPr>
          <w:rFonts w:hint="eastAsia" w:ascii="仿宋_GB2312" w:hAnsi="ˎ̥" w:eastAsia="仿宋_GB2312"/>
          <w:color w:val="000000"/>
          <w:sz w:val="32"/>
          <w:szCs w:val="32"/>
          <w:highlight w:val="none"/>
        </w:rPr>
        <w:t xml:space="preserve">    本年收入合计</w:t>
      </w:r>
      <w:r>
        <w:rPr>
          <w:rFonts w:hint="eastAsia" w:ascii="仿宋_GB2312" w:hAnsi="ˎ̥" w:eastAsia="仿宋_GB2312"/>
          <w:color w:val="000000"/>
          <w:sz w:val="32"/>
          <w:szCs w:val="32"/>
          <w:highlight w:val="none"/>
          <w:lang w:val="en-US" w:eastAsia="zh-CN"/>
        </w:rPr>
        <w:t>4749.19</w:t>
      </w:r>
      <w:r>
        <w:rPr>
          <w:rFonts w:hint="eastAsia" w:ascii="仿宋_GB2312" w:hAnsi="ˎ̥" w:eastAsia="仿宋_GB2312"/>
          <w:color w:val="000000"/>
          <w:sz w:val="32"/>
          <w:szCs w:val="32"/>
          <w:highlight w:val="none"/>
        </w:rPr>
        <w:t>万元，其中：财政拨款收入</w:t>
      </w:r>
      <w:r>
        <w:rPr>
          <w:rFonts w:hint="eastAsia" w:ascii="仿宋_GB2312" w:hAnsi="ˎ̥" w:eastAsia="仿宋_GB2312"/>
          <w:color w:val="000000"/>
          <w:sz w:val="32"/>
          <w:szCs w:val="32"/>
          <w:highlight w:val="none"/>
          <w:lang w:val="en-US" w:eastAsia="zh-CN"/>
        </w:rPr>
        <w:t>4723.48</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99.5</w:t>
      </w:r>
      <w:r>
        <w:rPr>
          <w:rFonts w:hint="eastAsia" w:ascii="仿宋_GB2312" w:hAnsi="ˎ̥" w:eastAsia="仿宋_GB2312"/>
          <w:color w:val="000000"/>
          <w:sz w:val="32"/>
          <w:szCs w:val="32"/>
          <w:highlight w:val="none"/>
        </w:rPr>
        <w:t>%；上级补助收入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事业收入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经营收入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附属单位上缴收入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%；其他收入</w:t>
      </w:r>
      <w:r>
        <w:rPr>
          <w:rFonts w:hint="eastAsia" w:ascii="仿宋_GB2312" w:hAnsi="ˎ̥" w:eastAsia="仿宋_GB2312"/>
          <w:color w:val="000000"/>
          <w:sz w:val="32"/>
          <w:szCs w:val="32"/>
          <w:highlight w:val="none"/>
          <w:lang w:val="en-US" w:eastAsia="zh-CN"/>
        </w:rPr>
        <w:t>25.72</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0.5</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本年支出合计</w:t>
      </w:r>
      <w:r>
        <w:rPr>
          <w:rFonts w:hint="eastAsia" w:ascii="仿宋_GB2312" w:hAnsi="ˎ̥" w:eastAsia="仿宋_GB2312"/>
          <w:color w:val="000000"/>
          <w:sz w:val="32"/>
          <w:szCs w:val="32"/>
          <w:highlight w:val="none"/>
          <w:lang w:val="en-US" w:eastAsia="zh-CN"/>
        </w:rPr>
        <w:t>4732.83</w:t>
      </w:r>
      <w:r>
        <w:rPr>
          <w:rFonts w:hint="eastAsia" w:ascii="仿宋_GB2312" w:hAnsi="ˎ̥" w:eastAsia="仿宋_GB2312"/>
          <w:color w:val="000000"/>
          <w:sz w:val="32"/>
          <w:szCs w:val="32"/>
          <w:highlight w:val="none"/>
        </w:rPr>
        <w:t>万元，其中：基本支出</w:t>
      </w:r>
      <w:r>
        <w:rPr>
          <w:rFonts w:hint="eastAsia" w:ascii="仿宋_GB2312" w:hAnsi="ˎ̥" w:eastAsia="仿宋_GB2312"/>
          <w:color w:val="000000"/>
          <w:sz w:val="32"/>
          <w:szCs w:val="32"/>
          <w:highlight w:val="none"/>
          <w:lang w:val="en-US" w:eastAsia="zh-CN"/>
        </w:rPr>
        <w:t>1386.05</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29.3</w:t>
      </w:r>
      <w:r>
        <w:rPr>
          <w:rFonts w:hint="eastAsia" w:ascii="仿宋_GB2312" w:hAnsi="ˎ̥" w:eastAsia="仿宋_GB2312"/>
          <w:color w:val="000000"/>
          <w:sz w:val="32"/>
          <w:szCs w:val="32"/>
          <w:highlight w:val="none"/>
        </w:rPr>
        <w:t>%；项目支出</w:t>
      </w:r>
      <w:r>
        <w:rPr>
          <w:rFonts w:hint="eastAsia" w:ascii="仿宋_GB2312" w:hAnsi="ˎ̥" w:eastAsia="仿宋_GB2312"/>
          <w:color w:val="000000"/>
          <w:sz w:val="32"/>
          <w:szCs w:val="32"/>
          <w:highlight w:val="none"/>
          <w:lang w:val="en-US" w:eastAsia="zh-CN"/>
        </w:rPr>
        <w:t>3346.78</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70.7</w:t>
      </w:r>
      <w:r>
        <w:rPr>
          <w:rFonts w:hint="eastAsia" w:ascii="仿宋_GB2312" w:hAnsi="ˎ̥" w:eastAsia="仿宋_GB2312"/>
          <w:color w:val="000000"/>
          <w:sz w:val="32"/>
          <w:szCs w:val="32"/>
          <w:highlight w:val="none"/>
        </w:rPr>
        <w:t>%；上缴上级支出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%；经营支出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%；对附属单位补助支出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2022年度财政拨款收入</w:t>
      </w:r>
      <w:r>
        <w:rPr>
          <w:rFonts w:hint="eastAsia" w:ascii="仿宋_GB2312" w:hAnsi="ˎ̥" w:eastAsia="仿宋_GB2312"/>
          <w:color w:val="000000"/>
          <w:sz w:val="32"/>
          <w:szCs w:val="32"/>
          <w:highlight w:val="none"/>
          <w:lang w:val="en-US" w:eastAsia="zh-CN"/>
        </w:rPr>
        <w:t>4723.48</w:t>
      </w:r>
      <w:r>
        <w:rPr>
          <w:rFonts w:hint="eastAsia" w:ascii="仿宋_GB2312" w:hAnsi="ˎ̥" w:eastAsia="仿宋_GB2312"/>
          <w:color w:val="000000"/>
          <w:sz w:val="32"/>
          <w:szCs w:val="32"/>
          <w:highlight w:val="none"/>
        </w:rPr>
        <w:t>万元，支出</w:t>
      </w:r>
      <w:r>
        <w:rPr>
          <w:rFonts w:hint="eastAsia" w:ascii="仿宋_GB2312" w:hAnsi="ˎ̥" w:eastAsia="仿宋_GB2312"/>
          <w:color w:val="000000"/>
          <w:sz w:val="32"/>
          <w:szCs w:val="32"/>
          <w:highlight w:val="none"/>
          <w:lang w:val="en-US" w:eastAsia="zh-CN"/>
        </w:rPr>
        <w:t>4723.48</w:t>
      </w:r>
      <w:r>
        <w:rPr>
          <w:rFonts w:hint="eastAsia" w:ascii="仿宋_GB2312" w:hAnsi="ˎ̥" w:eastAsia="仿宋_GB2312"/>
          <w:color w:val="000000"/>
          <w:sz w:val="32"/>
          <w:szCs w:val="32"/>
          <w:highlight w:val="none"/>
        </w:rPr>
        <w:t>万元。与2021年度相比，财政拨款收入、支出各减少</w:t>
      </w:r>
      <w:r>
        <w:rPr>
          <w:rFonts w:hint="eastAsia" w:ascii="仿宋_GB2312" w:hAnsi="ˎ̥" w:eastAsia="仿宋_GB2312"/>
          <w:color w:val="000000"/>
          <w:sz w:val="32"/>
          <w:szCs w:val="32"/>
          <w:highlight w:val="none"/>
          <w:lang w:val="en-US" w:eastAsia="zh-CN"/>
        </w:rPr>
        <w:t>2484.56</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34.5</w:t>
      </w:r>
      <w:r>
        <w:rPr>
          <w:rFonts w:hint="eastAsia" w:ascii="仿宋_GB2312" w:hAnsi="ˎ̥" w:eastAsia="仿宋_GB2312"/>
          <w:color w:val="000000"/>
          <w:sz w:val="32"/>
          <w:szCs w:val="32"/>
          <w:highlight w:val="none"/>
        </w:rPr>
        <w:t>%。主要原因：一是一般公共预算财政拨款</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lang w:val="en-US" w:eastAsia="zh-CN"/>
        </w:rPr>
        <w:t>529.42万元</w:t>
      </w:r>
      <w:r>
        <w:rPr>
          <w:rFonts w:hint="eastAsia" w:ascii="仿宋_GB2312" w:hAnsi="ˎ̥" w:eastAsia="仿宋_GB2312"/>
          <w:color w:val="000000"/>
          <w:sz w:val="32"/>
          <w:szCs w:val="32"/>
          <w:highlight w:val="none"/>
        </w:rPr>
        <w:t>；二是政府性基金预算财政拨款</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lang w:val="en-US" w:eastAsia="zh-CN"/>
        </w:rPr>
        <w:t>1957.34万元</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财政拨款年初结转结余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万元，主要是</w:t>
      </w:r>
      <w:r>
        <w:rPr>
          <w:rFonts w:hint="eastAsia" w:ascii="仿宋_GB2312" w:hAnsi="仿宋" w:eastAsia="仿宋_GB2312"/>
          <w:color w:val="000000"/>
          <w:sz w:val="32"/>
          <w:szCs w:val="32"/>
        </w:rPr>
        <w:t>未发生相关结算数据</w:t>
      </w:r>
      <w:r>
        <w:rPr>
          <w:rFonts w:hint="eastAsia" w:ascii="仿宋_GB2312" w:hAnsi="ˎ̥" w:eastAsia="仿宋_GB2312"/>
          <w:color w:val="000000"/>
          <w:sz w:val="32"/>
          <w:szCs w:val="32"/>
          <w:highlight w:val="none"/>
        </w:rPr>
        <w:t>，较2021年度决算数减少</w:t>
      </w:r>
      <w:r>
        <w:rPr>
          <w:rFonts w:hint="eastAsia" w:ascii="仿宋_GB2312" w:hAnsi="ˎ̥" w:eastAsia="仿宋_GB2312"/>
          <w:color w:val="000000"/>
          <w:sz w:val="32"/>
          <w:szCs w:val="32"/>
          <w:highlight w:val="none"/>
          <w:lang w:val="en-US" w:eastAsia="zh-CN"/>
        </w:rPr>
        <w:t>448.51</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rPr>
        <w:t>2021年度结转结余项目资金在202</w:t>
      </w:r>
      <w:r>
        <w:rPr>
          <w:rFonts w:hint="eastAsia" w:ascii="仿宋_GB2312" w:hAnsi="ˎ̥" w:eastAsia="仿宋_GB2312"/>
          <w:color w:val="000000"/>
          <w:sz w:val="32"/>
          <w:szCs w:val="32"/>
          <w:lang w:val="en-US" w:eastAsia="zh-CN"/>
        </w:rPr>
        <w:t>1</w:t>
      </w:r>
      <w:r>
        <w:rPr>
          <w:rFonts w:hint="eastAsia" w:ascii="仿宋_GB2312" w:hAnsi="ˎ̥" w:eastAsia="仿宋_GB2312"/>
          <w:color w:val="000000"/>
          <w:sz w:val="32"/>
          <w:szCs w:val="32"/>
        </w:rPr>
        <w:t>年支出</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财政拨款年末结转结余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万元，主要是</w:t>
      </w:r>
      <w:r>
        <w:rPr>
          <w:rFonts w:hint="eastAsia" w:ascii="仿宋_GB2312" w:hAnsi="仿宋" w:eastAsia="仿宋_GB2312"/>
          <w:color w:val="000000"/>
          <w:sz w:val="32"/>
          <w:szCs w:val="32"/>
        </w:rPr>
        <w:t>未发生相关结算数据</w:t>
      </w:r>
      <w:r>
        <w:rPr>
          <w:rFonts w:hint="eastAsia" w:ascii="仿宋_GB2312" w:hAnsi="ˎ̥" w:eastAsia="仿宋_GB2312"/>
          <w:color w:val="000000"/>
          <w:sz w:val="32"/>
          <w:szCs w:val="32"/>
          <w:highlight w:val="none"/>
        </w:rPr>
        <w:t>，较2021年度年末数增加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没有结转余资金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0" w:name="_Toc17398_WPSOffice_Level2"/>
      <w:bookmarkStart w:id="81" w:name="_Toc13694_WPSOffice_Level2"/>
      <w:bookmarkStart w:id="82" w:name="_Toc23005_WPSOffice_Level2"/>
      <w:bookmarkStart w:id="83" w:name="_Toc19665_WPSOffice_Level2"/>
      <w:bookmarkStart w:id="84" w:name="_Toc9989_WPSOffice_Level2"/>
      <w:bookmarkStart w:id="85" w:name="_Toc21737_WPSOffice_Level2"/>
      <w:r>
        <w:rPr>
          <w:rFonts w:hint="eastAsia" w:ascii="楷体" w:hAnsi="楷体" w:eastAsia="楷体" w:cs="楷体"/>
          <w:color w:val="000000"/>
          <w:sz w:val="32"/>
          <w:szCs w:val="32"/>
          <w:highlight w:val="none"/>
        </w:rPr>
        <w:t>（一）一般公共预算财政拨款支出决算总体情况</w:t>
      </w:r>
      <w:bookmarkEnd w:id="80"/>
      <w:bookmarkEnd w:id="81"/>
      <w:r>
        <w:rPr>
          <w:rFonts w:hint="eastAsia" w:ascii="楷体" w:hAnsi="楷体" w:eastAsia="楷体" w:cs="楷体"/>
          <w:color w:val="000000"/>
          <w:sz w:val="32"/>
          <w:szCs w:val="32"/>
          <w:highlight w:val="none"/>
        </w:rPr>
        <w:t>。</w:t>
      </w:r>
      <w:bookmarkEnd w:id="82"/>
      <w:bookmarkEnd w:id="83"/>
      <w:bookmarkEnd w:id="84"/>
      <w:bookmarkEnd w:id="8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4710.49</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97.6</w:t>
      </w:r>
      <w:r>
        <w:rPr>
          <w:rFonts w:hint="eastAsia" w:ascii="仿宋_GB2312" w:hAnsi="ˎ̥" w:eastAsia="仿宋_GB2312"/>
          <w:color w:val="000000"/>
          <w:sz w:val="32"/>
          <w:szCs w:val="32"/>
          <w:highlight w:val="none"/>
        </w:rPr>
        <w:t>%。与2021年度相比，一般公共预算财政拨款支出减少</w:t>
      </w:r>
      <w:r>
        <w:rPr>
          <w:rFonts w:hint="eastAsia" w:ascii="仿宋_GB2312" w:hAnsi="ˎ̥" w:eastAsia="仿宋_GB2312"/>
          <w:color w:val="000000"/>
          <w:sz w:val="32"/>
          <w:szCs w:val="32"/>
          <w:highlight w:val="none"/>
          <w:lang w:val="en-US" w:eastAsia="zh-CN"/>
        </w:rPr>
        <w:t>709.92</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13.1</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rPr>
        <w:t>使用上级资金调整经济分类科目</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6" w:name="_Toc18793_WPSOffice_Level2"/>
      <w:bookmarkStart w:id="87" w:name="_Toc2711_WPSOffice_Level2"/>
      <w:bookmarkStart w:id="88" w:name="_Toc19075_WPSOffice_Level2"/>
      <w:bookmarkStart w:id="89" w:name="_Toc19535_WPSOffice_Level2"/>
      <w:bookmarkStart w:id="90" w:name="_Toc23864_WPSOffice_Level2"/>
      <w:bookmarkStart w:id="91" w:name="_Toc27767_WPSOffice_Level2"/>
      <w:r>
        <w:rPr>
          <w:rFonts w:hint="eastAsia" w:ascii="楷体" w:hAnsi="楷体" w:eastAsia="楷体" w:cs="楷体"/>
          <w:color w:val="000000"/>
          <w:sz w:val="32"/>
          <w:szCs w:val="32"/>
          <w:highlight w:val="none"/>
        </w:rPr>
        <w:t>（二）一般公共预算财政拨款支出决算结构情况</w:t>
      </w:r>
      <w:bookmarkEnd w:id="86"/>
      <w:bookmarkEnd w:id="87"/>
      <w:r>
        <w:rPr>
          <w:rFonts w:hint="eastAsia" w:ascii="楷体" w:hAnsi="楷体" w:eastAsia="楷体" w:cs="楷体"/>
          <w:color w:val="000000"/>
          <w:sz w:val="32"/>
          <w:szCs w:val="32"/>
          <w:highlight w:val="none"/>
        </w:rPr>
        <w:t>。</w:t>
      </w:r>
      <w:bookmarkEnd w:id="88"/>
      <w:bookmarkEnd w:id="89"/>
      <w:bookmarkEnd w:id="90"/>
      <w:bookmarkEnd w:id="9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4710.49</w:t>
      </w:r>
      <w:r>
        <w:rPr>
          <w:rFonts w:hint="eastAsia" w:ascii="仿宋_GB2312" w:hAnsi="ˎ̥" w:eastAsia="仿宋_GB2312"/>
          <w:color w:val="000000"/>
          <w:sz w:val="32"/>
          <w:szCs w:val="32"/>
          <w:highlight w:val="none"/>
        </w:rPr>
        <w:t>万元，主要用于以下方面：</w:t>
      </w:r>
      <w:r>
        <w:rPr>
          <w:rFonts w:hint="eastAsia" w:ascii="仿宋_GB2312" w:hAnsi="ˎ̥" w:eastAsia="仿宋_GB2312"/>
          <w:b/>
          <w:color w:val="000000"/>
          <w:sz w:val="32"/>
          <w:szCs w:val="32"/>
          <w:highlight w:val="none"/>
        </w:rPr>
        <w:t>一般公共服务（类）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1670.93</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35.5</w:t>
      </w:r>
      <w:r>
        <w:rPr>
          <w:rFonts w:hint="eastAsia" w:ascii="仿宋_GB2312" w:hAnsi="ˎ̥" w:eastAsia="仿宋_GB2312"/>
          <w:color w:val="000000"/>
          <w:sz w:val="32"/>
          <w:szCs w:val="32"/>
          <w:highlight w:val="none"/>
        </w:rPr>
        <w:t>%；</w:t>
      </w:r>
      <w:r>
        <w:rPr>
          <w:rFonts w:hint="eastAsia" w:ascii="仿宋_GB2312" w:hAnsi="ˎ̥" w:eastAsia="仿宋_GB2312"/>
          <w:b/>
          <w:color w:val="000000"/>
          <w:sz w:val="32"/>
          <w:szCs w:val="32"/>
          <w:highlight w:val="none"/>
        </w:rPr>
        <w:t>社会保障和就业（类）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1276.77</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27.1</w:t>
      </w:r>
      <w:r>
        <w:rPr>
          <w:rFonts w:hint="eastAsia" w:ascii="仿宋_GB2312" w:hAnsi="ˎ̥" w:eastAsia="仿宋_GB2312"/>
          <w:color w:val="000000"/>
          <w:sz w:val="32"/>
          <w:szCs w:val="32"/>
          <w:highlight w:val="none"/>
        </w:rPr>
        <w:t>%；</w:t>
      </w:r>
      <w:r>
        <w:rPr>
          <w:rFonts w:hint="eastAsia" w:ascii="仿宋_GB2312" w:hAnsi="ˎ̥" w:eastAsia="仿宋_GB2312"/>
          <w:b/>
          <w:bCs/>
          <w:color w:val="000000"/>
          <w:sz w:val="32"/>
          <w:szCs w:val="32"/>
          <w:highlight w:val="none"/>
        </w:rPr>
        <w:t>卫生健康（类）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439.91</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9.3</w:t>
      </w:r>
      <w:r>
        <w:rPr>
          <w:rFonts w:hint="eastAsia" w:ascii="仿宋_GB2312" w:hAnsi="ˎ̥" w:eastAsia="仿宋_GB2312"/>
          <w:color w:val="000000"/>
          <w:sz w:val="32"/>
          <w:szCs w:val="32"/>
          <w:highlight w:val="none"/>
        </w:rPr>
        <w:t>%；</w:t>
      </w:r>
      <w:r>
        <w:rPr>
          <w:rFonts w:hint="eastAsia" w:ascii="仿宋_GB2312" w:hAnsi="ˎ̥" w:eastAsia="仿宋_GB2312"/>
          <w:b/>
          <w:bCs/>
          <w:color w:val="000000"/>
          <w:sz w:val="32"/>
          <w:szCs w:val="32"/>
          <w:highlight w:val="none"/>
        </w:rPr>
        <w:t>城乡社区（类）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733.68</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15.6</w:t>
      </w:r>
      <w:r>
        <w:rPr>
          <w:rFonts w:hint="eastAsia" w:ascii="仿宋_GB2312" w:hAnsi="ˎ̥" w:eastAsia="仿宋_GB2312"/>
          <w:color w:val="000000"/>
          <w:sz w:val="32"/>
          <w:szCs w:val="32"/>
          <w:highlight w:val="none"/>
        </w:rPr>
        <w:t>%；</w:t>
      </w:r>
      <w:r>
        <w:rPr>
          <w:rFonts w:hint="eastAsia" w:ascii="仿宋_GB2312" w:hAnsi="ˎ̥" w:eastAsia="仿宋_GB2312"/>
          <w:b/>
          <w:bCs/>
          <w:color w:val="000000"/>
          <w:sz w:val="32"/>
          <w:szCs w:val="32"/>
          <w:highlight w:val="none"/>
        </w:rPr>
        <w:t>农林水（类）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94.79</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2</w:t>
      </w:r>
      <w:r>
        <w:rPr>
          <w:rFonts w:hint="eastAsia" w:ascii="仿宋_GB2312" w:hAnsi="ˎ̥" w:eastAsia="仿宋_GB2312"/>
          <w:color w:val="000000"/>
          <w:sz w:val="32"/>
          <w:szCs w:val="32"/>
          <w:highlight w:val="none"/>
        </w:rPr>
        <w:t>%；</w:t>
      </w:r>
      <w:r>
        <w:rPr>
          <w:rFonts w:hint="eastAsia" w:ascii="仿宋_GB2312" w:hAnsi="ˎ̥" w:eastAsia="仿宋_GB2312"/>
          <w:b/>
          <w:bCs/>
          <w:color w:val="000000"/>
          <w:sz w:val="32"/>
          <w:szCs w:val="32"/>
          <w:highlight w:val="none"/>
        </w:rPr>
        <w:t>住房保障（类）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457.75</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9.7</w:t>
      </w:r>
      <w:r>
        <w:rPr>
          <w:rFonts w:hint="eastAsia" w:ascii="仿宋_GB2312" w:hAnsi="ˎ̥" w:eastAsia="仿宋_GB2312"/>
          <w:color w:val="000000"/>
          <w:sz w:val="32"/>
          <w:szCs w:val="32"/>
          <w:highlight w:val="none"/>
        </w:rPr>
        <w:t>%；</w:t>
      </w:r>
      <w:r>
        <w:rPr>
          <w:rFonts w:hint="eastAsia" w:ascii="仿宋_GB2312" w:hAnsi="ˎ̥" w:eastAsia="仿宋_GB2312"/>
          <w:b/>
          <w:bCs/>
          <w:color w:val="000000"/>
          <w:sz w:val="32"/>
          <w:szCs w:val="32"/>
          <w:highlight w:val="none"/>
        </w:rPr>
        <w:t>灾害防治及应急管理（类）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2.64</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0.1</w:t>
      </w:r>
      <w:r>
        <w:rPr>
          <w:rFonts w:hint="eastAsia" w:ascii="仿宋_GB2312" w:hAnsi="ˎ̥" w:eastAsia="仿宋_GB2312"/>
          <w:color w:val="000000"/>
          <w:sz w:val="32"/>
          <w:szCs w:val="32"/>
          <w:highlight w:val="none"/>
        </w:rPr>
        <w:t>%；</w:t>
      </w:r>
      <w:r>
        <w:rPr>
          <w:rFonts w:hint="eastAsia" w:ascii="仿宋_GB2312" w:hAnsi="ˎ̥" w:eastAsia="仿宋_GB2312"/>
          <w:b/>
          <w:bCs/>
          <w:color w:val="000000"/>
          <w:sz w:val="32"/>
          <w:szCs w:val="32"/>
          <w:highlight w:val="none"/>
          <w:lang w:eastAsia="zh-CN"/>
        </w:rPr>
        <w:t>其他</w:t>
      </w:r>
      <w:r>
        <w:rPr>
          <w:rFonts w:hint="eastAsia" w:ascii="仿宋_GB2312" w:hAnsi="ˎ̥" w:eastAsia="仿宋_GB2312"/>
          <w:b/>
          <w:bCs/>
          <w:color w:val="000000"/>
          <w:sz w:val="32"/>
          <w:szCs w:val="32"/>
          <w:highlight w:val="none"/>
        </w:rPr>
        <w:t>（类）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34</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0.7</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92" w:name="_Toc25136_WPSOffice_Level2"/>
      <w:bookmarkStart w:id="93" w:name="_Toc9502_WPSOffice_Level2"/>
      <w:bookmarkStart w:id="94" w:name="_Toc22318_WPSOffice_Level2"/>
      <w:bookmarkStart w:id="95" w:name="_Toc15415_WPSOffice_Level2"/>
      <w:bookmarkStart w:id="96" w:name="_Toc21701_WPSOffice_Level2"/>
      <w:bookmarkStart w:id="97" w:name="_Toc29364_WPSOffice_Level2"/>
      <w:r>
        <w:rPr>
          <w:rFonts w:hint="eastAsia" w:ascii="楷体" w:hAnsi="楷体" w:eastAsia="楷体" w:cs="楷体"/>
          <w:color w:val="000000"/>
          <w:sz w:val="32"/>
          <w:szCs w:val="32"/>
          <w:highlight w:val="none"/>
        </w:rPr>
        <w:t>（三）一般公共预算财政拨款支出决算具体情况。</w:t>
      </w:r>
      <w:bookmarkEnd w:id="92"/>
      <w:bookmarkEnd w:id="93"/>
      <w:bookmarkEnd w:id="94"/>
      <w:bookmarkEnd w:id="95"/>
      <w:bookmarkEnd w:id="96"/>
      <w:bookmarkEnd w:id="9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2022年度一般公共预算财政拨款支出年初预算为</w:t>
      </w:r>
      <w:r>
        <w:rPr>
          <w:rFonts w:hint="eastAsia" w:ascii="仿宋_GB2312" w:hAnsi="ˎ̥" w:eastAsia="仿宋_GB2312"/>
          <w:color w:val="000000"/>
          <w:sz w:val="32"/>
          <w:szCs w:val="32"/>
          <w:highlight w:val="none"/>
          <w:lang w:val="en-US" w:eastAsia="zh-CN"/>
        </w:rPr>
        <w:t>3723.76</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4710.49</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126.5</w:t>
      </w:r>
      <w:r>
        <w:rPr>
          <w:rFonts w:hint="eastAsia" w:ascii="仿宋_GB2312" w:hAnsi="ˎ̥" w:eastAsia="仿宋_GB2312"/>
          <w:color w:val="000000"/>
          <w:sz w:val="32"/>
          <w:szCs w:val="32"/>
          <w:highlight w:val="none"/>
        </w:rPr>
        <w:t>%。其中：</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一般公共服务（类）人大事务（款）一般行政管理事务（项）。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0.97</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97</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一般公共服务（类）政府办公厅（室）及相关机构事务（款）行政运行（项）。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665.21</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632.36</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95.1</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一般公共服务（类）政府办公厅（室）及相关机构事务（款）一般行政管理事务（项）。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961.87</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837.9</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87.1</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color w:val="000000"/>
          <w:sz w:val="32"/>
          <w:szCs w:val="32"/>
          <w:highlight w:val="none"/>
          <w:lang w:val="en-US" w:eastAsia="zh-CN"/>
        </w:rPr>
        <w:t>4</w:t>
      </w:r>
      <w:r>
        <w:rPr>
          <w:rFonts w:hint="eastAsia" w:ascii="仿宋_GB2312" w:hAnsi="ˎ̥" w:eastAsia="仿宋_GB2312"/>
          <w:color w:val="000000"/>
          <w:sz w:val="32"/>
          <w:szCs w:val="32"/>
          <w:highlight w:val="none"/>
        </w:rPr>
        <w:t>.</w:t>
      </w:r>
      <w:r>
        <w:rPr>
          <w:rFonts w:hint="eastAsia" w:ascii="仿宋_GB2312" w:hAnsi="ˎ̥" w:eastAsia="仿宋_GB2312"/>
          <w:b/>
          <w:color w:val="000000"/>
          <w:sz w:val="32"/>
          <w:szCs w:val="32"/>
          <w:highlight w:val="none"/>
        </w:rPr>
        <w:t>一般公共服务（类）财政事务（款）行政运行（项）。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178.78</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147.72</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82.6</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5.</w:t>
      </w:r>
      <w:r>
        <w:rPr>
          <w:rFonts w:hint="eastAsia" w:ascii="仿宋_GB2312" w:hAnsi="ˎ̥" w:eastAsia="仿宋_GB2312"/>
          <w:b/>
          <w:color w:val="000000"/>
          <w:sz w:val="32"/>
          <w:szCs w:val="32"/>
          <w:highlight w:val="none"/>
        </w:rPr>
        <w:t>一般公共服务（类）财政事务（款）一般行政管理事务（项）。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54.26</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44.04</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81.6</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6.</w:t>
      </w:r>
      <w:r>
        <w:rPr>
          <w:rFonts w:hint="eastAsia" w:ascii="仿宋_GB2312" w:hAnsi="ˎ̥" w:eastAsia="仿宋_GB2312"/>
          <w:b/>
          <w:color w:val="000000"/>
          <w:sz w:val="32"/>
          <w:szCs w:val="32"/>
          <w:highlight w:val="none"/>
        </w:rPr>
        <w:t>一般公共服务（类）组织事务（款）一般行政管理事务（项）。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2.68</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color w:val="000000"/>
          <w:sz w:val="32"/>
          <w:szCs w:val="32"/>
          <w:highlight w:val="none"/>
          <w:lang w:val="en-US" w:eastAsia="zh-CN"/>
        </w:rPr>
        <w:t>7</w:t>
      </w:r>
      <w:r>
        <w:rPr>
          <w:rFonts w:hint="eastAsia" w:ascii="仿宋_GB2312" w:hAnsi="ˎ̥" w:eastAsia="仿宋_GB2312"/>
          <w:color w:val="000000"/>
          <w:sz w:val="32"/>
          <w:szCs w:val="32"/>
          <w:highlight w:val="none"/>
        </w:rPr>
        <w:t>.</w:t>
      </w:r>
      <w:r>
        <w:rPr>
          <w:rFonts w:hint="eastAsia" w:ascii="仿宋_GB2312" w:hAnsi="ˎ̥" w:eastAsia="仿宋_GB2312"/>
          <w:b/>
          <w:color w:val="000000"/>
          <w:sz w:val="32"/>
          <w:szCs w:val="32"/>
          <w:highlight w:val="none"/>
        </w:rPr>
        <w:t>一般公共服务（类）宣传事务（款）其他宣传事务（项）。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5.26</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社会保障和就业（类）人力资源和社会保障管理事务（款）社会保险经办机构（项）。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0.38</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11.84</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3115.8</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社会保障和就业（类）民政管理事务（款）基层政权建设和社区治理（项）。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503.24</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694.06</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137.92</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社会保障和就业（类）行政事业单位养老（款）机关事业单位基本养老保险缴费（项）。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187.45</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128.73</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68.7</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社会保障和就业（类）行政事业单位养老（款）机关事业单位职业年金缴费（项）。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39.54</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18.2</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46</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bCs/>
          <w:color w:val="000000"/>
          <w:sz w:val="32"/>
          <w:szCs w:val="32"/>
          <w:highlight w:val="none"/>
        </w:rPr>
        <w:t>社会保障和就业</w:t>
      </w:r>
      <w:r>
        <w:rPr>
          <w:rFonts w:hint="eastAsia" w:ascii="仿宋_GB2312" w:hAnsi="ˎ̥" w:eastAsia="仿宋_GB2312"/>
          <w:b/>
          <w:color w:val="000000"/>
          <w:sz w:val="32"/>
          <w:szCs w:val="32"/>
          <w:highlight w:val="none"/>
        </w:rPr>
        <w:t>（类）抚恤（款）义务兵优待（项）</w:t>
      </w:r>
      <w:r>
        <w:rPr>
          <w:rFonts w:hint="eastAsia" w:ascii="仿宋_GB2312" w:hAnsi="ˎ̥" w:eastAsia="仿宋_GB2312"/>
          <w:b/>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178.78</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lang w:eastAsia="zh-CN"/>
        </w:rPr>
      </w:pPr>
      <w:r>
        <w:rPr>
          <w:rFonts w:hint="eastAsia" w:ascii="仿宋_GB2312" w:hAnsi="ˎ̥" w:eastAsia="仿宋_GB2312"/>
          <w:b/>
          <w:bCs/>
          <w:color w:val="000000"/>
          <w:sz w:val="32"/>
          <w:szCs w:val="32"/>
          <w:highlight w:val="none"/>
          <w:lang w:val="en-US" w:eastAsia="zh-CN"/>
        </w:rPr>
        <w:t>13.</w:t>
      </w:r>
      <w:r>
        <w:rPr>
          <w:rFonts w:hint="eastAsia" w:ascii="仿宋_GB2312" w:hAnsi="ˎ̥" w:eastAsia="仿宋_GB2312"/>
          <w:b/>
          <w:bCs/>
          <w:color w:val="000000"/>
          <w:sz w:val="32"/>
          <w:szCs w:val="32"/>
          <w:highlight w:val="none"/>
        </w:rPr>
        <w:t>社会保障和就业</w:t>
      </w:r>
      <w:r>
        <w:rPr>
          <w:rFonts w:hint="eastAsia" w:ascii="仿宋_GB2312" w:hAnsi="ˎ̥" w:eastAsia="仿宋_GB2312"/>
          <w:b/>
          <w:color w:val="000000"/>
          <w:sz w:val="32"/>
          <w:szCs w:val="32"/>
          <w:highlight w:val="none"/>
        </w:rPr>
        <w:t>（类）抚恤（款）其他优抚支出（项）</w:t>
      </w:r>
      <w:r>
        <w:rPr>
          <w:rFonts w:hint="eastAsia" w:ascii="仿宋_GB2312" w:hAnsi="ˎ̥" w:eastAsia="仿宋_GB2312"/>
          <w:b/>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8.66</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9.75</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112.6</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14.</w:t>
      </w:r>
      <w:r>
        <w:rPr>
          <w:rFonts w:hint="eastAsia" w:ascii="仿宋_GB2312" w:hAnsi="ˎ̥" w:eastAsia="仿宋_GB2312"/>
          <w:b/>
          <w:color w:val="000000"/>
          <w:sz w:val="32"/>
          <w:szCs w:val="32"/>
          <w:highlight w:val="none"/>
        </w:rPr>
        <w:t>社会保障和就业（类）社会福利（款）老年福利（项）。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1.54</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194.57</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12634.4</w:t>
      </w:r>
      <w:r>
        <w:rPr>
          <w:rFonts w:hint="eastAsia" w:ascii="仿宋_GB2312" w:hAnsi="ˎ̥" w:eastAsia="仿宋_GB2312"/>
          <w:color w:val="000000"/>
          <w:sz w:val="32"/>
          <w:szCs w:val="32"/>
          <w:highlight w:val="none"/>
        </w:rPr>
        <w:t>%。决算数大于预算数的主要原因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15.</w:t>
      </w:r>
      <w:r>
        <w:rPr>
          <w:rFonts w:hint="eastAsia" w:ascii="仿宋_GB2312" w:hAnsi="ˎ̥" w:eastAsia="仿宋_GB2312"/>
          <w:b/>
          <w:color w:val="000000"/>
          <w:sz w:val="32"/>
          <w:szCs w:val="32"/>
          <w:highlight w:val="none"/>
        </w:rPr>
        <w:t>社会保障和就业（类）社会福利（款）养老服务（项）。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15.55</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社会保障和就业（类）残疾人事业（款）其他残疾人事业（项）。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0.79</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12.03</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1522.8</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17.</w:t>
      </w:r>
      <w:r>
        <w:rPr>
          <w:rFonts w:hint="eastAsia" w:ascii="仿宋_GB2312" w:hAnsi="ˎ̥" w:eastAsia="仿宋_GB2312"/>
          <w:b/>
          <w:color w:val="000000"/>
          <w:sz w:val="32"/>
          <w:szCs w:val="32"/>
          <w:highlight w:val="none"/>
        </w:rPr>
        <w:t>社会保障和就业（类）临时救助（款）临时救助（项）。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0.41</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18.</w:t>
      </w:r>
      <w:r>
        <w:rPr>
          <w:rFonts w:hint="eastAsia" w:ascii="仿宋_GB2312" w:hAnsi="ˎ̥" w:eastAsia="仿宋_GB2312"/>
          <w:b/>
          <w:color w:val="000000"/>
          <w:sz w:val="32"/>
          <w:szCs w:val="32"/>
          <w:highlight w:val="none"/>
        </w:rPr>
        <w:t>社会保障和就业（类）特困人员救助供养（款）农村特困人员救助供养（项）。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8.79</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19.</w:t>
      </w:r>
      <w:r>
        <w:rPr>
          <w:rFonts w:hint="eastAsia" w:ascii="仿宋_GB2312" w:hAnsi="ˎ̥" w:eastAsia="仿宋_GB2312"/>
          <w:b/>
          <w:color w:val="000000"/>
          <w:sz w:val="32"/>
          <w:szCs w:val="32"/>
          <w:highlight w:val="none"/>
        </w:rPr>
        <w:t>社会保障和就业（类）退役军人管理事务（款）其他退役军人事务管理（项）。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4.06</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20.</w:t>
      </w:r>
      <w:r>
        <w:rPr>
          <w:rFonts w:hint="eastAsia" w:ascii="仿宋_GB2312" w:hAnsi="ˎ̥" w:eastAsia="仿宋_GB2312"/>
          <w:b/>
          <w:color w:val="000000"/>
          <w:sz w:val="32"/>
          <w:szCs w:val="32"/>
          <w:highlight w:val="none"/>
        </w:rPr>
        <w:t>卫生健康（类）公共卫生（款）重大公共卫生服务（项）。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143.51</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lang w:val="en-US" w:eastAsia="zh-CN"/>
        </w:rPr>
      </w:pPr>
      <w:r>
        <w:rPr>
          <w:rFonts w:hint="eastAsia" w:ascii="仿宋_GB2312" w:hAnsi="ˎ̥" w:eastAsia="仿宋_GB2312"/>
          <w:b/>
          <w:color w:val="000000"/>
          <w:sz w:val="32"/>
          <w:szCs w:val="32"/>
          <w:highlight w:val="none"/>
          <w:lang w:val="en-US" w:eastAsia="zh-CN"/>
        </w:rPr>
        <w:t>21.</w:t>
      </w:r>
      <w:r>
        <w:rPr>
          <w:rFonts w:hint="eastAsia" w:ascii="仿宋_GB2312" w:hAnsi="ˎ̥" w:eastAsia="仿宋_GB2312"/>
          <w:b/>
          <w:color w:val="000000"/>
          <w:sz w:val="32"/>
          <w:szCs w:val="32"/>
          <w:highlight w:val="none"/>
        </w:rPr>
        <w:t>卫生健康（类）公共卫生（款）其他公共卫生（项）。</w:t>
      </w:r>
      <w:r>
        <w:rPr>
          <w:rFonts w:hint="eastAsia" w:ascii="仿宋_GB2312" w:hAnsi="ˎ̥" w:eastAsia="仿宋_GB2312"/>
          <w:b/>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1.29</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卫生健康（类）计划生育事务（款）其他计划生育事务（项）。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95.32</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122.46</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128.5</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卫生健康（类）行政事业单位医疗（款）行政单位医疗（项）。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61.14</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162.64</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266</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卫生健康（类）行政事业单位医疗（款）事业单位医疗（项）。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11.84</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11.53</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97.4</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卫生健康（类）行政事业单位医疗（款）公务员医疗补助（项）。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97.01</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97.07</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100.1</w:t>
      </w:r>
      <w:r>
        <w:rPr>
          <w:rFonts w:hint="eastAsia" w:ascii="仿宋_GB2312" w:hAnsi="ˎ̥" w:eastAsia="仿宋_GB2312"/>
          <w:color w:val="000000"/>
          <w:sz w:val="32"/>
          <w:szCs w:val="32"/>
          <w:highlight w:val="none"/>
        </w:rPr>
        <w:t>%。决算数</w:t>
      </w:r>
      <w:r>
        <w:rPr>
          <w:rFonts w:hint="eastAsia" w:ascii="仿宋_GB2312" w:hAnsi="ˎ̥" w:eastAsia="仿宋_GB2312"/>
          <w:color w:val="000000"/>
          <w:sz w:val="32"/>
          <w:szCs w:val="32"/>
          <w:highlight w:val="none"/>
          <w:lang w:eastAsia="zh-CN"/>
        </w:rPr>
        <w:t>大</w:t>
      </w:r>
      <w:r>
        <w:rPr>
          <w:rFonts w:hint="eastAsia" w:ascii="仿宋_GB2312" w:hAnsi="ˎ̥" w:eastAsia="仿宋_GB2312"/>
          <w:color w:val="000000"/>
          <w:sz w:val="32"/>
          <w:szCs w:val="32"/>
          <w:highlight w:val="none"/>
        </w:rPr>
        <w:t>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卫生健康（类）行政事业单位医疗（款）其他行政事业单位医疗（项）。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15.5</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18.87</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121.7</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卫生健康（类）老龄卫生健康事务（款）老龄卫生健康事务（项）。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10.01</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城乡社区（类）城乡社区管理事务（款）一般行政管理事务（项）。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8.7</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城乡社区（类）城乡社区管理事务（款）城管执法（项）。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757.65</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724.98</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95.7</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29.</w:t>
      </w:r>
      <w:r>
        <w:rPr>
          <w:rFonts w:hint="eastAsia" w:ascii="仿宋_GB2312" w:hAnsi="ˎ̥" w:eastAsia="仿宋_GB2312"/>
          <w:b/>
          <w:color w:val="000000"/>
          <w:sz w:val="32"/>
          <w:szCs w:val="32"/>
          <w:highlight w:val="none"/>
        </w:rPr>
        <w:t>农林水（类）农业农村（款）农业生产发展（项）。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0.01</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91.43</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val="en-US" w:eastAsia="zh-CN"/>
        </w:rPr>
        <w:t>30.</w:t>
      </w:r>
      <w:r>
        <w:rPr>
          <w:rFonts w:hint="eastAsia" w:ascii="仿宋_GB2312" w:hAnsi="ˎ̥" w:eastAsia="仿宋_GB2312"/>
          <w:b/>
          <w:color w:val="000000"/>
          <w:sz w:val="32"/>
          <w:szCs w:val="32"/>
          <w:highlight w:val="none"/>
        </w:rPr>
        <w:t>农林水（类）农业农村（款）其他农业农村（项）。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3.98</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3.36</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84.4</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w:t>
      </w:r>
      <w:r>
        <w:rPr>
          <w:rFonts w:hint="eastAsia" w:ascii="仿宋_GB2312" w:hAnsi="仿宋" w:eastAsia="仿宋_GB2312"/>
          <w:sz w:val="32"/>
          <w:szCs w:val="32"/>
        </w:rPr>
        <w:t>年初预算数做大</w:t>
      </w:r>
      <w:r>
        <w:rPr>
          <w:rFonts w:hint="eastAsia" w:ascii="仿宋_GB2312" w:hAnsi="ˎ̥" w:eastAsia="仿宋_GB2312"/>
          <w:color w:val="000000"/>
          <w:sz w:val="32"/>
          <w:szCs w:val="32"/>
          <w:highlight w:val="none"/>
        </w:rPr>
        <w:t>。</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住房保障（类）保障性安居工程（款）老旧小区改造（项）。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360.48</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住房保障（类）住房改革（款）住房公积金（项）。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78.35</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97.27</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124.15</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rPr>
        <w:t>灾害防治及应急管理（类）应急管理事务（款）行政运行（项）。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2.64</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b/>
          <w:color w:val="000000"/>
          <w:sz w:val="32"/>
          <w:szCs w:val="32"/>
          <w:highlight w:val="none"/>
          <w:lang w:eastAsia="zh-CN"/>
        </w:rPr>
        <w:t>其他</w:t>
      </w:r>
      <w:r>
        <w:rPr>
          <w:rFonts w:hint="eastAsia" w:ascii="仿宋_GB2312" w:hAnsi="ˎ̥" w:eastAsia="仿宋_GB2312"/>
          <w:b/>
          <w:color w:val="000000"/>
          <w:sz w:val="32"/>
          <w:szCs w:val="32"/>
          <w:highlight w:val="none"/>
        </w:rPr>
        <w:t>（类）</w:t>
      </w:r>
      <w:r>
        <w:rPr>
          <w:rFonts w:hint="eastAsia" w:ascii="仿宋_GB2312" w:hAnsi="ˎ̥" w:eastAsia="仿宋_GB2312"/>
          <w:b/>
          <w:color w:val="000000"/>
          <w:sz w:val="32"/>
          <w:szCs w:val="32"/>
          <w:highlight w:val="none"/>
          <w:lang w:eastAsia="zh-CN"/>
        </w:rPr>
        <w:t>其他</w:t>
      </w:r>
      <w:r>
        <w:rPr>
          <w:rFonts w:hint="eastAsia" w:ascii="仿宋_GB2312" w:hAnsi="ˎ̥" w:eastAsia="仿宋_GB2312"/>
          <w:b/>
          <w:color w:val="000000"/>
          <w:sz w:val="32"/>
          <w:szCs w:val="32"/>
          <w:highlight w:val="none"/>
        </w:rPr>
        <w:t>（款）</w:t>
      </w:r>
      <w:r>
        <w:rPr>
          <w:rFonts w:hint="eastAsia" w:ascii="仿宋_GB2312" w:hAnsi="ˎ̥" w:eastAsia="仿宋_GB2312"/>
          <w:b/>
          <w:color w:val="000000"/>
          <w:sz w:val="32"/>
          <w:szCs w:val="32"/>
          <w:highlight w:val="none"/>
          <w:lang w:eastAsia="zh-CN"/>
        </w:rPr>
        <w:t>其他</w:t>
      </w:r>
      <w:r>
        <w:rPr>
          <w:rFonts w:hint="eastAsia" w:ascii="仿宋_GB2312" w:hAnsi="ˎ̥" w:eastAsia="仿宋_GB2312"/>
          <w:b/>
          <w:color w:val="000000"/>
          <w:sz w:val="32"/>
          <w:szCs w:val="32"/>
          <w:highlight w:val="none"/>
        </w:rPr>
        <w:t>（项）。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34</w:t>
      </w:r>
      <w:r>
        <w:rPr>
          <w:rFonts w:hint="eastAsia" w:ascii="仿宋_GB2312" w:hAnsi="ˎ̥" w:eastAsia="仿宋_GB2312"/>
          <w:color w:val="000000"/>
          <w:sz w:val="32"/>
          <w:szCs w:val="32"/>
          <w:highlight w:val="none"/>
        </w:rPr>
        <w:t>万元。决算数大于预算数的主要原因</w:t>
      </w:r>
      <w:r>
        <w:rPr>
          <w:rFonts w:hint="eastAsia" w:ascii="仿宋_GB2312" w:hAnsi="仿宋" w:eastAsia="仿宋_GB2312"/>
          <w:sz w:val="32"/>
          <w:szCs w:val="32"/>
        </w:rPr>
        <w:t>是年初没有该项目预算</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六、一般公共预算财政拨款基本支出决算情况说明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2022年度财政拨款基本支出</w:t>
      </w:r>
      <w:r>
        <w:rPr>
          <w:rFonts w:hint="eastAsia" w:ascii="仿宋_GB2312" w:hAnsi="ˎ̥" w:eastAsia="仿宋_GB2312"/>
          <w:color w:val="000000"/>
          <w:sz w:val="32"/>
          <w:szCs w:val="32"/>
          <w:highlight w:val="none"/>
          <w:lang w:val="en-US" w:eastAsia="zh-CN"/>
        </w:rPr>
        <w:t>1385.87</w:t>
      </w:r>
      <w:r>
        <w:rPr>
          <w:rFonts w:hint="eastAsia" w:ascii="仿宋_GB2312" w:hAnsi="ˎ̥" w:eastAsia="仿宋_GB2312"/>
          <w:color w:val="000000"/>
          <w:sz w:val="32"/>
          <w:szCs w:val="32"/>
          <w:highlight w:val="none"/>
        </w:rPr>
        <w:t>万元，其中：人员经费</w:t>
      </w:r>
      <w:r>
        <w:rPr>
          <w:rFonts w:hint="eastAsia" w:ascii="仿宋_GB2312" w:hAnsi="ˎ̥" w:eastAsia="仿宋_GB2312"/>
          <w:color w:val="000000"/>
          <w:sz w:val="32"/>
          <w:szCs w:val="32"/>
          <w:highlight w:val="none"/>
          <w:lang w:val="en-US" w:eastAsia="zh-CN"/>
        </w:rPr>
        <w:t>1269.67</w:t>
      </w:r>
      <w:r>
        <w:rPr>
          <w:rFonts w:hint="eastAsia" w:ascii="仿宋_GB2312" w:hAnsi="ˎ̥" w:eastAsia="仿宋_GB2312"/>
          <w:color w:val="000000"/>
          <w:sz w:val="32"/>
          <w:szCs w:val="32"/>
          <w:highlight w:val="none"/>
        </w:rPr>
        <w:t>万元，主要包括：基本工资</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津贴补贴</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奖金</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绩效工资</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机关事业单位基本养老保险缴费</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职业年金缴费</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职工基本医疗保险缴费</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公务员医疗补助缴费</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其他社会保障缴费</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住房公积金</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其他工资福利支出</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生活补助</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奖励金</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其他对个人和家庭的补助。公用经费</w:t>
      </w:r>
      <w:r>
        <w:rPr>
          <w:rFonts w:hint="eastAsia" w:ascii="仿宋_GB2312" w:hAnsi="ˎ̥" w:eastAsia="仿宋_GB2312"/>
          <w:color w:val="000000"/>
          <w:sz w:val="32"/>
          <w:szCs w:val="32"/>
          <w:highlight w:val="none"/>
          <w:lang w:val="en-US" w:eastAsia="zh-CN"/>
        </w:rPr>
        <w:t>116.2</w:t>
      </w:r>
      <w:r>
        <w:rPr>
          <w:rFonts w:hint="eastAsia" w:ascii="仿宋_GB2312" w:hAnsi="ˎ̥" w:eastAsia="仿宋_GB2312"/>
          <w:color w:val="000000"/>
          <w:sz w:val="32"/>
          <w:szCs w:val="32"/>
          <w:highlight w:val="none"/>
        </w:rPr>
        <w:t>万元，主要包括：办公费、手续费、电费、邮电费、维修（护）费、租赁费、培训费、专用材料费、劳务费、工会经费、公务用车运行维护费、其他交通费用、其他商品和服务支出</w:t>
      </w:r>
      <w:r>
        <w:rPr>
          <w:rFonts w:hint="eastAsia" w:ascii="仿宋_GB2312" w:hAnsi="ˎ̥" w:eastAsia="仿宋_GB2312"/>
          <w:color w:val="000000"/>
          <w:sz w:val="32"/>
          <w:szCs w:val="32"/>
          <w:highlight w:val="none"/>
          <w:lang w:eastAsia="zh-CN"/>
        </w:rPr>
        <w:t>、办公设备购置、专用设备购置、其他交通工具购置</w:t>
      </w:r>
      <w:r>
        <w:rPr>
          <w:rFonts w:hint="eastAsia" w:ascii="仿宋_GB2312" w:hAnsi="ˎ̥" w:eastAsia="仿宋_GB2312"/>
          <w:color w:val="000000"/>
          <w:sz w:val="32"/>
          <w:szCs w:val="32"/>
          <w:highlight w:val="none"/>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（一）政府性基金预算财政拨款支出决算总体情况。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10.79</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0.3</w:t>
      </w:r>
      <w:r>
        <w:rPr>
          <w:rFonts w:hint="eastAsia" w:ascii="仿宋_GB2312" w:hAnsi="ˎ̥" w:eastAsia="仿宋_GB2312"/>
          <w:color w:val="000000"/>
          <w:sz w:val="32"/>
          <w:szCs w:val="32"/>
          <w:highlight w:val="none"/>
        </w:rPr>
        <w:t>%。与2021年度相比，政府性基金预算财政拨款支出减少</w:t>
      </w:r>
      <w:r>
        <w:rPr>
          <w:rFonts w:hint="eastAsia" w:ascii="仿宋_GB2312" w:hAnsi="ˎ̥" w:eastAsia="仿宋_GB2312"/>
          <w:color w:val="000000"/>
          <w:sz w:val="32"/>
          <w:szCs w:val="32"/>
          <w:highlight w:val="none"/>
          <w:lang w:val="en-US" w:eastAsia="zh-CN"/>
        </w:rPr>
        <w:t>2225.35</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99.5</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项目预算做大</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（二）政府性基金预算财政拨款支出决算结构情况。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10.79</w:t>
      </w:r>
      <w:r>
        <w:rPr>
          <w:rFonts w:hint="eastAsia" w:ascii="仿宋_GB2312" w:hAnsi="ˎ̥" w:eastAsia="仿宋_GB2312"/>
          <w:color w:val="000000"/>
          <w:sz w:val="32"/>
          <w:szCs w:val="32"/>
          <w:highlight w:val="none"/>
        </w:rPr>
        <w:t>万元，主要用于以下方面：城乡社区</w:t>
      </w:r>
      <w:r>
        <w:rPr>
          <w:rFonts w:hint="eastAsia" w:ascii="仿宋_GB2312" w:hAnsi="ˎ̥" w:eastAsia="仿宋_GB2312"/>
          <w:b/>
          <w:color w:val="000000"/>
          <w:sz w:val="32"/>
          <w:szCs w:val="32"/>
          <w:highlight w:val="none"/>
        </w:rPr>
        <w:t>（类）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10.79</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（三）政府性基金预算财政拨款支出决算具体情况。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2022年度政府性基金预算财政拨款支出年初预算为</w:t>
      </w:r>
      <w:r>
        <w:rPr>
          <w:rFonts w:hint="eastAsia" w:ascii="仿宋_GB2312" w:hAnsi="ˎ̥" w:eastAsia="仿宋_GB2312"/>
          <w:color w:val="000000"/>
          <w:sz w:val="32"/>
          <w:szCs w:val="32"/>
          <w:highlight w:val="none"/>
          <w:lang w:val="en-US" w:eastAsia="zh-CN"/>
        </w:rPr>
        <w:t>81.43</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10.79</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13.3</w:t>
      </w:r>
      <w:r>
        <w:rPr>
          <w:rFonts w:hint="eastAsia" w:ascii="仿宋_GB2312" w:hAnsi="ˎ̥" w:eastAsia="仿宋_GB2312"/>
          <w:color w:val="000000"/>
          <w:sz w:val="32"/>
          <w:szCs w:val="32"/>
          <w:highlight w:val="none"/>
        </w:rPr>
        <w:t>%。其中：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color w:val="000000"/>
          <w:sz w:val="32"/>
          <w:szCs w:val="32"/>
          <w:highlight w:val="none"/>
        </w:rPr>
        <w:t>1.城乡社区</w:t>
      </w:r>
      <w:r>
        <w:rPr>
          <w:rFonts w:hint="eastAsia" w:ascii="仿宋_GB2312" w:hAnsi="ˎ̥" w:eastAsia="仿宋_GB2312"/>
          <w:b/>
          <w:color w:val="000000"/>
          <w:sz w:val="32"/>
          <w:szCs w:val="32"/>
          <w:highlight w:val="none"/>
        </w:rPr>
        <w:t>（类）</w:t>
      </w:r>
      <w:r>
        <w:rPr>
          <w:rFonts w:hint="eastAsia" w:ascii="仿宋_GB2312" w:hAnsi="ˎ̥" w:eastAsia="仿宋_GB2312"/>
          <w:color w:val="000000"/>
          <w:sz w:val="32"/>
          <w:szCs w:val="32"/>
          <w:highlight w:val="none"/>
        </w:rPr>
        <w:t>国有土地使用权出让收入安排</w:t>
      </w:r>
      <w:r>
        <w:rPr>
          <w:rFonts w:hint="eastAsia" w:ascii="仿宋_GB2312" w:hAnsi="ˎ̥" w:eastAsia="仿宋_GB2312"/>
          <w:b/>
          <w:color w:val="000000"/>
          <w:sz w:val="32"/>
          <w:szCs w:val="32"/>
          <w:highlight w:val="none"/>
        </w:rPr>
        <w:t>（款）</w:t>
      </w:r>
      <w:r>
        <w:rPr>
          <w:rFonts w:hint="eastAsia" w:ascii="仿宋_GB2312" w:hAnsi="ˎ̥" w:eastAsia="仿宋_GB2312"/>
          <w:color w:val="000000"/>
          <w:sz w:val="32"/>
          <w:szCs w:val="32"/>
          <w:highlight w:val="none"/>
        </w:rPr>
        <w:t>棚户区改造</w:t>
      </w:r>
      <w:r>
        <w:rPr>
          <w:rFonts w:hint="eastAsia" w:ascii="仿宋_GB2312" w:hAnsi="ˎ̥" w:eastAsia="仿宋_GB2312"/>
          <w:b/>
          <w:color w:val="000000"/>
          <w:sz w:val="32"/>
          <w:szCs w:val="32"/>
          <w:highlight w:val="none"/>
        </w:rPr>
        <w:t>（项）。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13.43</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2.3</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17.1</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是项目预算做大</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color w:val="000000"/>
          <w:sz w:val="32"/>
          <w:szCs w:val="32"/>
          <w:highlight w:val="none"/>
          <w:lang w:val="en-US" w:eastAsia="zh-CN"/>
        </w:rPr>
        <w:t>2</w:t>
      </w:r>
      <w:r>
        <w:rPr>
          <w:rFonts w:hint="eastAsia" w:ascii="仿宋_GB2312" w:hAnsi="ˎ̥" w:eastAsia="仿宋_GB2312"/>
          <w:color w:val="000000"/>
          <w:sz w:val="32"/>
          <w:szCs w:val="32"/>
          <w:highlight w:val="none"/>
        </w:rPr>
        <w:t>.城乡社区</w:t>
      </w:r>
      <w:r>
        <w:rPr>
          <w:rFonts w:hint="eastAsia" w:ascii="仿宋_GB2312" w:hAnsi="ˎ̥" w:eastAsia="仿宋_GB2312"/>
          <w:b/>
          <w:color w:val="000000"/>
          <w:sz w:val="32"/>
          <w:szCs w:val="32"/>
          <w:highlight w:val="none"/>
        </w:rPr>
        <w:t>（类）</w:t>
      </w:r>
      <w:r>
        <w:rPr>
          <w:rFonts w:hint="eastAsia" w:ascii="仿宋_GB2312" w:hAnsi="ˎ̥" w:eastAsia="仿宋_GB2312"/>
          <w:color w:val="000000"/>
          <w:sz w:val="32"/>
          <w:szCs w:val="32"/>
          <w:highlight w:val="none"/>
        </w:rPr>
        <w:t>城市基础设施配套费安排</w:t>
      </w:r>
      <w:r>
        <w:rPr>
          <w:rFonts w:hint="eastAsia" w:ascii="仿宋_GB2312" w:hAnsi="ˎ̥" w:eastAsia="仿宋_GB2312"/>
          <w:b/>
          <w:color w:val="000000"/>
          <w:sz w:val="32"/>
          <w:szCs w:val="32"/>
          <w:highlight w:val="none"/>
        </w:rPr>
        <w:t>（款）</w:t>
      </w:r>
      <w:r>
        <w:rPr>
          <w:rFonts w:hint="eastAsia" w:ascii="仿宋_GB2312" w:hAnsi="ˎ̥" w:eastAsia="仿宋_GB2312"/>
          <w:color w:val="000000"/>
          <w:sz w:val="32"/>
          <w:szCs w:val="32"/>
          <w:highlight w:val="none"/>
        </w:rPr>
        <w:t>城市环境卫生</w:t>
      </w:r>
      <w:r>
        <w:rPr>
          <w:rFonts w:hint="eastAsia" w:ascii="仿宋_GB2312" w:hAnsi="ˎ̥" w:eastAsia="仿宋_GB2312"/>
          <w:b/>
          <w:color w:val="000000"/>
          <w:sz w:val="32"/>
          <w:szCs w:val="32"/>
          <w:highlight w:val="none"/>
        </w:rPr>
        <w:t>（项）。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68</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8.5</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12.5</w:t>
      </w:r>
      <w:r>
        <w:rPr>
          <w:rFonts w:hint="eastAsia" w:ascii="仿宋_GB2312" w:hAnsi="ˎ̥" w:eastAsia="仿宋_GB2312"/>
          <w:color w:val="000000"/>
          <w:sz w:val="32"/>
          <w:szCs w:val="32"/>
          <w:highlight w:val="none"/>
        </w:rPr>
        <w:t>%。决算数小于预算数的主要原因</w:t>
      </w:r>
      <w:r>
        <w:rPr>
          <w:rFonts w:hint="eastAsia" w:ascii="仿宋_GB2312" w:hAnsi="ˎ̥" w:eastAsia="仿宋_GB2312"/>
          <w:color w:val="000000"/>
          <w:sz w:val="32"/>
          <w:szCs w:val="32"/>
          <w:highlight w:val="none"/>
          <w:lang w:eastAsia="zh-CN"/>
        </w:rPr>
        <w:t>是项目预算做大</w:t>
      </w:r>
      <w:r>
        <w:rPr>
          <w:rFonts w:hint="eastAsia" w:ascii="仿宋_GB2312" w:hAnsi="ˎ̥" w:eastAsia="仿宋_GB2312"/>
          <w:color w:val="000000"/>
          <w:sz w:val="32"/>
          <w:szCs w:val="32"/>
          <w:highlight w:val="none"/>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八、国有资本经营预算财政拨款支出决算情况说明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（一）国有资本经营预算财政拨款支出决算总体情况。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2.19</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0.1</w:t>
      </w:r>
      <w:r>
        <w:rPr>
          <w:rFonts w:hint="eastAsia" w:ascii="仿宋_GB2312" w:hAnsi="ˎ̥" w:eastAsia="仿宋_GB2312"/>
          <w:color w:val="000000"/>
          <w:sz w:val="32"/>
          <w:szCs w:val="32"/>
          <w:highlight w:val="none"/>
        </w:rPr>
        <w:t>%。与2021年度相比，国有资本经营预算财政拨款支出增加</w:t>
      </w:r>
      <w:r>
        <w:rPr>
          <w:rFonts w:hint="eastAsia" w:ascii="仿宋_GB2312" w:hAnsi="ˎ̥" w:eastAsia="仿宋_GB2312"/>
          <w:color w:val="000000"/>
          <w:sz w:val="32"/>
          <w:szCs w:val="32"/>
          <w:highlight w:val="none"/>
          <w:lang w:val="en-US" w:eastAsia="zh-CN"/>
        </w:rPr>
        <w:t>2.19</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上年没有发生相关的决算数据</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（二）国有资本经营预算财政拨款支出决算结构情况。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2.19</w:t>
      </w:r>
      <w:r>
        <w:rPr>
          <w:rFonts w:hint="eastAsia" w:ascii="仿宋_GB2312" w:hAnsi="ˎ̥" w:eastAsia="仿宋_GB2312"/>
          <w:color w:val="000000"/>
          <w:sz w:val="32"/>
          <w:szCs w:val="32"/>
          <w:highlight w:val="none"/>
        </w:rPr>
        <w:t>万元，主要用于以下方面：国有资本经营预算</w:t>
      </w:r>
      <w:r>
        <w:rPr>
          <w:rFonts w:hint="eastAsia" w:ascii="仿宋_GB2312" w:hAnsi="ˎ̥" w:eastAsia="仿宋_GB2312"/>
          <w:b/>
          <w:color w:val="000000"/>
          <w:sz w:val="32"/>
          <w:szCs w:val="32"/>
          <w:highlight w:val="none"/>
        </w:rPr>
        <w:t>（类）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2.19</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（三）国有资本经营预算财政拨款支出决算具体情况。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2022年度国有资本经营预算财政拨款支出年初预算为</w:t>
      </w:r>
      <w:r>
        <w:rPr>
          <w:rFonts w:hint="eastAsia" w:ascii="仿宋_GB2312" w:hAnsi="ˎ̥" w:eastAsia="仿宋_GB2312"/>
          <w:color w:val="000000"/>
          <w:sz w:val="32"/>
          <w:szCs w:val="32"/>
          <w:highlight w:val="none"/>
          <w:lang w:val="en-US" w:eastAsia="zh-CN"/>
        </w:rPr>
        <w:t>1.61</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2.19</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136</w:t>
      </w:r>
      <w:r>
        <w:rPr>
          <w:rFonts w:hint="eastAsia" w:ascii="仿宋_GB2312" w:hAnsi="ˎ̥" w:eastAsia="仿宋_GB2312"/>
          <w:color w:val="000000"/>
          <w:sz w:val="32"/>
          <w:szCs w:val="32"/>
          <w:highlight w:val="none"/>
        </w:rPr>
        <w:t>%。其中：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
          <w:color w:val="000000"/>
          <w:sz w:val="32"/>
          <w:szCs w:val="32"/>
          <w:highlight w:val="none"/>
        </w:rPr>
      </w:pPr>
      <w:r>
        <w:rPr>
          <w:rFonts w:hint="eastAsia" w:ascii="仿宋_GB2312" w:hAnsi="ˎ̥" w:eastAsia="仿宋_GB2312"/>
          <w:color w:val="000000"/>
          <w:sz w:val="32"/>
          <w:szCs w:val="32"/>
          <w:highlight w:val="none"/>
        </w:rPr>
        <w:t>国有资本经营预算</w:t>
      </w:r>
      <w:r>
        <w:rPr>
          <w:rFonts w:hint="eastAsia" w:ascii="仿宋_GB2312" w:hAnsi="ˎ̥" w:eastAsia="仿宋_GB2312"/>
          <w:b/>
          <w:color w:val="000000"/>
          <w:sz w:val="32"/>
          <w:szCs w:val="32"/>
          <w:highlight w:val="none"/>
        </w:rPr>
        <w:t>（类）</w:t>
      </w:r>
      <w:r>
        <w:rPr>
          <w:rFonts w:hint="eastAsia" w:ascii="仿宋_GB2312" w:hAnsi="ˎ̥" w:eastAsia="仿宋_GB2312"/>
          <w:color w:val="000000"/>
          <w:sz w:val="32"/>
          <w:szCs w:val="32"/>
          <w:highlight w:val="none"/>
        </w:rPr>
        <w:t>解决历史遗留问题及改革成本</w:t>
      </w:r>
      <w:r>
        <w:rPr>
          <w:rFonts w:hint="eastAsia" w:ascii="仿宋_GB2312" w:hAnsi="ˎ̥" w:eastAsia="仿宋_GB2312"/>
          <w:b/>
          <w:color w:val="000000"/>
          <w:sz w:val="32"/>
          <w:szCs w:val="32"/>
          <w:highlight w:val="none"/>
        </w:rPr>
        <w:t>（款）</w:t>
      </w:r>
      <w:r>
        <w:rPr>
          <w:rFonts w:hint="eastAsia" w:ascii="仿宋_GB2312" w:hAnsi="ˎ̥" w:eastAsia="仿宋_GB2312"/>
          <w:color w:val="000000"/>
          <w:sz w:val="32"/>
          <w:szCs w:val="32"/>
          <w:highlight w:val="none"/>
        </w:rPr>
        <w:t>国有企业退休人员社会化管理补助</w:t>
      </w:r>
      <w:r>
        <w:rPr>
          <w:rFonts w:hint="eastAsia" w:ascii="仿宋_GB2312" w:hAnsi="ˎ̥" w:eastAsia="仿宋_GB2312"/>
          <w:b/>
          <w:color w:val="000000"/>
          <w:sz w:val="32"/>
          <w:szCs w:val="32"/>
          <w:highlight w:val="none"/>
        </w:rPr>
        <w:t>（项）。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年初预算为</w:t>
      </w:r>
      <w:r>
        <w:rPr>
          <w:rFonts w:hint="eastAsia" w:ascii="仿宋_GB2312" w:hAnsi="ˎ̥" w:eastAsia="仿宋_GB2312"/>
          <w:color w:val="000000"/>
          <w:sz w:val="32"/>
          <w:szCs w:val="32"/>
          <w:highlight w:val="none"/>
          <w:lang w:val="en-US" w:eastAsia="zh-CN"/>
        </w:rPr>
        <w:t>1.61</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2.19</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136</w:t>
      </w:r>
      <w:r>
        <w:rPr>
          <w:rFonts w:hint="eastAsia" w:ascii="仿宋_GB2312" w:hAnsi="ˎ̥" w:eastAsia="仿宋_GB2312"/>
          <w:color w:val="000000"/>
          <w:sz w:val="32"/>
          <w:szCs w:val="32"/>
          <w:highlight w:val="none"/>
        </w:rPr>
        <w:t>%。决算数大于预算数的主要原因</w:t>
      </w:r>
      <w:r>
        <w:rPr>
          <w:rFonts w:hint="eastAsia" w:ascii="仿宋_GB2312" w:hAnsi="仿宋" w:eastAsia="仿宋_GB2312"/>
          <w:sz w:val="32"/>
          <w:szCs w:val="32"/>
        </w:rPr>
        <w:t>是该项目经费在年中执行过程中申请预算追加</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ˎ̥" w:eastAsia="楷体_GB2312"/>
          <w:color w:val="000000"/>
          <w:sz w:val="32"/>
          <w:szCs w:val="32"/>
          <w:highlight w:val="none"/>
        </w:rPr>
      </w:pPr>
      <w:r>
        <w:rPr>
          <w:rFonts w:hint="eastAsia" w:ascii="黑体" w:hAnsi="黑体" w:eastAsia="黑体" w:cs="黑体"/>
          <w:bCs/>
          <w:color w:val="000000"/>
          <w:sz w:val="32"/>
          <w:szCs w:val="32"/>
          <w:highlight w:val="none"/>
        </w:rPr>
        <w:t>九、财政拨款“三公”经费支出决算情况说明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（一）财政拨款“三公”经费支出决算总体情况说明。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 xml:space="preserve">    2022年度财政拨款“三公”经费支出预算为</w:t>
      </w:r>
      <w:r>
        <w:rPr>
          <w:rFonts w:hint="eastAsia" w:ascii="仿宋_GB2312" w:hAnsi="ˎ̥" w:eastAsia="仿宋_GB2312"/>
          <w:color w:val="000000"/>
          <w:sz w:val="32"/>
          <w:szCs w:val="32"/>
          <w:highlight w:val="none"/>
          <w:lang w:val="en-US" w:eastAsia="zh-CN"/>
        </w:rPr>
        <w:t>17.5</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7.98</w:t>
      </w:r>
      <w:r>
        <w:rPr>
          <w:rFonts w:hint="eastAsia" w:ascii="仿宋_GB2312" w:hAnsi="ˎ̥" w:eastAsia="仿宋_GB2312"/>
          <w:color w:val="000000"/>
          <w:sz w:val="32"/>
          <w:szCs w:val="32"/>
          <w:highlight w:val="none"/>
        </w:rPr>
        <w:t>万元，完成预算的</w:t>
      </w:r>
      <w:r>
        <w:rPr>
          <w:rFonts w:hint="eastAsia" w:ascii="仿宋_GB2312" w:hAnsi="ˎ̥" w:eastAsia="仿宋_GB2312"/>
          <w:color w:val="000000"/>
          <w:sz w:val="32"/>
          <w:szCs w:val="32"/>
          <w:highlight w:val="none"/>
          <w:lang w:val="en-US" w:eastAsia="zh-CN"/>
        </w:rPr>
        <w:t>45.6</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sz w:val="32"/>
          <w:szCs w:val="32"/>
          <w:highlight w:val="none"/>
        </w:rPr>
      </w:pPr>
      <w:r>
        <w:rPr>
          <w:rFonts w:hint="eastAsia" w:ascii="楷体" w:hAnsi="楷体" w:eastAsia="楷体" w:cs="楷体"/>
          <w:b/>
          <w:bCs/>
          <w:color w:val="000000"/>
          <w:sz w:val="32"/>
          <w:szCs w:val="32"/>
          <w:highlight w:val="none"/>
        </w:rPr>
        <w:t xml:space="preserve">   </w:t>
      </w:r>
      <w:r>
        <w:rPr>
          <w:rFonts w:hint="eastAsia" w:ascii="楷体" w:hAnsi="楷体" w:eastAsia="楷体" w:cs="楷体"/>
          <w:color w:val="000000"/>
          <w:sz w:val="32"/>
          <w:szCs w:val="32"/>
          <w:highlight w:val="none"/>
        </w:rPr>
        <w:t xml:space="preserve"> （二）财政拨款“三公”经费支出决算具体情况说明。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2022年度财政拨款“三公”经费支出决算中，因公出国（境）费支出决算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%；公务用车购置及运行维护费支出决算</w:t>
      </w:r>
      <w:r>
        <w:rPr>
          <w:rFonts w:hint="eastAsia" w:ascii="仿宋_GB2312" w:hAnsi="ˎ̥" w:eastAsia="仿宋_GB2312"/>
          <w:color w:val="000000"/>
          <w:sz w:val="32"/>
          <w:szCs w:val="32"/>
          <w:highlight w:val="none"/>
          <w:lang w:val="en-US" w:eastAsia="zh-CN"/>
        </w:rPr>
        <w:t>7.98</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%；公务接待费支出决算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1.因公出国（境）费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万元。全年安排因公出国（境）团组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个，因公出国（境）</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因公出国（境）费支出决算比预算数增加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%。主要原因是</w:t>
      </w:r>
      <w:r>
        <w:rPr>
          <w:rFonts w:hint="eastAsia" w:ascii="仿宋_GB2312" w:hAnsi="仿宋" w:eastAsia="仿宋_GB2312"/>
          <w:color w:val="000000"/>
          <w:sz w:val="32"/>
          <w:szCs w:val="32"/>
        </w:rPr>
        <w:t>本年没有发生相关的决算数据</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2.公务用车购置及运行维护费支出</w:t>
      </w:r>
      <w:r>
        <w:rPr>
          <w:rFonts w:hint="eastAsia" w:ascii="仿宋_GB2312" w:hAnsi="ˎ̥" w:eastAsia="仿宋_GB2312"/>
          <w:color w:val="000000"/>
          <w:sz w:val="32"/>
          <w:szCs w:val="32"/>
          <w:highlight w:val="none"/>
          <w:lang w:val="en-US" w:eastAsia="zh-CN"/>
        </w:rPr>
        <w:t>7.98</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公务用车购置支出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万元，全年购置公务用车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辆，年末公务用车保有量</w:t>
      </w:r>
      <w:r>
        <w:rPr>
          <w:rFonts w:hint="eastAsia" w:ascii="仿宋_GB2312" w:hAnsi="ˎ̥" w:eastAsia="仿宋_GB2312"/>
          <w:color w:val="000000"/>
          <w:sz w:val="32"/>
          <w:szCs w:val="32"/>
          <w:highlight w:val="none"/>
          <w:lang w:val="en-US" w:eastAsia="zh-CN"/>
        </w:rPr>
        <w:t>5</w:t>
      </w:r>
      <w:r>
        <w:rPr>
          <w:rFonts w:hint="eastAsia" w:ascii="仿宋_GB2312" w:hAnsi="ˎ̥" w:eastAsia="仿宋_GB2312"/>
          <w:color w:val="000000"/>
          <w:sz w:val="32"/>
          <w:szCs w:val="32"/>
          <w:highlight w:val="none"/>
        </w:rPr>
        <w:t>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公务用车运行维护费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7.98</w:t>
      </w:r>
      <w:r>
        <w:rPr>
          <w:rFonts w:hint="eastAsia" w:ascii="仿宋_GB2312" w:hAnsi="ˎ̥" w:eastAsia="仿宋_GB2312"/>
          <w:color w:val="000000"/>
          <w:sz w:val="32"/>
          <w:szCs w:val="32"/>
          <w:highlight w:val="none"/>
        </w:rPr>
        <w:t>万元，主要用于</w:t>
      </w:r>
      <w:r>
        <w:rPr>
          <w:rFonts w:hint="eastAsia" w:ascii="仿宋_GB2312" w:hAnsi="仿宋" w:eastAsia="仿宋_GB2312"/>
          <w:color w:val="000000"/>
          <w:sz w:val="32"/>
          <w:szCs w:val="32"/>
        </w:rPr>
        <w:t>公务用车日常燃油费和维修费</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Cs/>
          <w:color w:val="000000"/>
          <w:sz w:val="32"/>
          <w:szCs w:val="32"/>
          <w:highlight w:val="none"/>
        </w:rPr>
      </w:pPr>
      <w:r>
        <w:rPr>
          <w:rFonts w:hint="eastAsia" w:ascii="仿宋_GB2312" w:hAnsi="ˎ̥" w:eastAsia="仿宋_GB2312"/>
          <w:bCs/>
          <w:color w:val="000000"/>
          <w:sz w:val="32"/>
          <w:szCs w:val="32"/>
          <w:highlight w:val="none"/>
        </w:rPr>
        <w:t>公务用车购置及运行费支出决算数</w:t>
      </w:r>
      <w:r>
        <w:rPr>
          <w:rFonts w:hint="eastAsia" w:ascii="仿宋_GB2312" w:hAnsi="ˎ̥" w:eastAsia="仿宋_GB2312"/>
          <w:color w:val="000000"/>
          <w:sz w:val="32"/>
          <w:szCs w:val="32"/>
          <w:highlight w:val="none"/>
        </w:rPr>
        <w:t>比预算数减少</w:t>
      </w:r>
      <w:r>
        <w:rPr>
          <w:rFonts w:hint="eastAsia" w:ascii="仿宋_GB2312" w:hAnsi="ˎ̥" w:eastAsia="仿宋_GB2312"/>
          <w:color w:val="000000"/>
          <w:sz w:val="32"/>
          <w:szCs w:val="32"/>
          <w:highlight w:val="none"/>
          <w:lang w:val="en-US" w:eastAsia="zh-CN"/>
        </w:rPr>
        <w:t>9.52</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54.4</w:t>
      </w:r>
      <w:r>
        <w:rPr>
          <w:rFonts w:hint="eastAsia" w:ascii="仿宋_GB2312" w:hAnsi="ˎ̥" w:eastAsia="仿宋_GB2312"/>
          <w:color w:val="000000"/>
          <w:sz w:val="32"/>
          <w:szCs w:val="32"/>
          <w:highlight w:val="none"/>
        </w:rPr>
        <w:t>%。主要原因是</w:t>
      </w:r>
      <w:r>
        <w:rPr>
          <w:rFonts w:hint="eastAsia" w:ascii="仿宋_GB2312" w:hAnsi="仿宋" w:eastAsia="仿宋_GB2312"/>
          <w:color w:val="000000"/>
          <w:sz w:val="32"/>
          <w:szCs w:val="32"/>
        </w:rPr>
        <w:t>一是没有公务车购置支出</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二是本年度燃油费减少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3.公务接待费支出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国内接待费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万元，国内公务接待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国（境）外接待费支出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万元，国（境）外公务接待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公务接待费支出决算数比预算数增加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%。主要原因是</w:t>
      </w:r>
      <w:r>
        <w:rPr>
          <w:rFonts w:hint="eastAsia" w:ascii="仿宋_GB2312" w:hAnsi="仿宋" w:eastAsia="仿宋_GB2312"/>
          <w:color w:val="000000"/>
          <w:sz w:val="32"/>
          <w:szCs w:val="32"/>
        </w:rPr>
        <w:t>本年没有发生相关的决算数据</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（一）</w:t>
      </w:r>
      <w:r>
        <w:rPr>
          <w:rFonts w:hint="eastAsia" w:ascii="楷体" w:hAnsi="楷体" w:eastAsia="楷体" w:cs="楷体"/>
          <w:b w:val="0"/>
          <w:bCs/>
          <w:color w:val="000000"/>
          <w:sz w:val="32"/>
          <w:szCs w:val="32"/>
          <w:highlight w:val="none"/>
        </w:rPr>
        <w:t>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根据预算管理要求，我部门单位组织对</w:t>
      </w:r>
      <w:r>
        <w:rPr>
          <w:rFonts w:hint="eastAsia" w:ascii="仿宋_GB2312" w:eastAsia="仿宋_GB2312"/>
          <w:color w:val="000000"/>
          <w:sz w:val="32"/>
          <w:szCs w:val="32"/>
          <w:highlight w:val="none"/>
          <w:lang w:eastAsia="zh-CN"/>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lang w:eastAsia="zh-CN"/>
        </w:rPr>
        <w:t>年度</w:t>
      </w:r>
      <w:r>
        <w:rPr>
          <w:rFonts w:hint="eastAsia" w:ascii="仿宋_GB2312" w:eastAsia="仿宋_GB2312"/>
          <w:color w:val="000000"/>
          <w:sz w:val="32"/>
          <w:szCs w:val="32"/>
          <w:highlight w:val="none"/>
        </w:rPr>
        <w:t>一般公共预算项目支出全面开展绩</w:t>
      </w:r>
      <w:r>
        <w:rPr>
          <w:rFonts w:hint="eastAsia" w:ascii="仿宋_GB2312" w:eastAsia="仿宋_GB2312"/>
          <w:color w:val="000000" w:themeColor="text1"/>
          <w:sz w:val="32"/>
          <w:szCs w:val="32"/>
          <w:highlight w:val="none"/>
          <w14:textFill>
            <w14:solidFill>
              <w14:schemeClr w14:val="tx1"/>
            </w14:solidFill>
          </w14:textFill>
        </w:rPr>
        <w:t>效自评。</w:t>
      </w:r>
      <w:r>
        <w:rPr>
          <w:rFonts w:hint="eastAsia" w:ascii="仿宋_GB2312" w:hAnsi="Times New Roman" w:eastAsia="仿宋_GB2312" w:cs="Times New Roman"/>
          <w:color w:val="000000" w:themeColor="text1"/>
          <w:kern w:val="2"/>
          <w:sz w:val="32"/>
          <w:szCs w:val="32"/>
          <w:highlight w:val="none"/>
          <w:lang w:val="en-US" w:eastAsia="zh-CN" w:bidi="ar"/>
          <w14:textFill>
            <w14:solidFill>
              <w14:schemeClr w14:val="tx1"/>
            </w14:solidFill>
          </w14:textFill>
        </w:rPr>
        <w:t>其中，自评项目</w:t>
      </w:r>
      <w:r>
        <w:rPr>
          <w:rFonts w:hint="eastAsia" w:ascii="仿宋_GB2312" w:eastAsia="仿宋_GB2312" w:cs="Times New Roman"/>
          <w:color w:val="000000" w:themeColor="text1"/>
          <w:kern w:val="2"/>
          <w:sz w:val="32"/>
          <w:szCs w:val="32"/>
          <w:highlight w:val="none"/>
          <w:lang w:val="en-US" w:eastAsia="zh-CN" w:bidi="ar"/>
          <w14:textFill>
            <w14:solidFill>
              <w14:schemeClr w14:val="tx1"/>
            </w14:solidFill>
          </w14:textFill>
        </w:rPr>
        <w:t>87</w:t>
      </w:r>
      <w:r>
        <w:rPr>
          <w:rFonts w:hint="eastAsia" w:ascii="仿宋_GB2312" w:hAnsi="Times New Roman" w:eastAsia="仿宋_GB2312" w:cs="Times New Roman"/>
          <w:color w:val="000000" w:themeColor="text1"/>
          <w:kern w:val="2"/>
          <w:sz w:val="32"/>
          <w:szCs w:val="32"/>
          <w:highlight w:val="none"/>
          <w:lang w:val="en-US" w:eastAsia="zh-CN" w:bidi="ar"/>
          <w14:textFill>
            <w14:solidFill>
              <w14:schemeClr w14:val="tx1"/>
            </w14:solidFill>
          </w14:textFill>
        </w:rPr>
        <w:t>个，共涉及资金</w:t>
      </w:r>
      <w:r>
        <w:rPr>
          <w:rFonts w:hint="eastAsia" w:ascii="仿宋_GB2312" w:eastAsia="仿宋_GB2312" w:cs="Times New Roman"/>
          <w:color w:val="000000" w:themeColor="text1"/>
          <w:kern w:val="2"/>
          <w:sz w:val="32"/>
          <w:szCs w:val="32"/>
          <w:highlight w:val="none"/>
          <w:lang w:val="en-US" w:eastAsia="zh-CN" w:bidi="ar"/>
          <w14:textFill>
            <w14:solidFill>
              <w14:schemeClr w14:val="tx1"/>
            </w14:solidFill>
          </w14:textFill>
        </w:rPr>
        <w:t>3783.89</w:t>
      </w:r>
      <w:r>
        <w:rPr>
          <w:rFonts w:hint="eastAsia" w:ascii="仿宋_GB2312" w:hAnsi="Times New Roman" w:eastAsia="仿宋_GB2312" w:cs="Times New Roman"/>
          <w:color w:val="000000" w:themeColor="text1"/>
          <w:kern w:val="2"/>
          <w:sz w:val="32"/>
          <w:szCs w:val="32"/>
          <w:highlight w:val="none"/>
          <w:lang w:val="en-US" w:eastAsia="zh-CN" w:bidi="ar"/>
          <w14:textFill>
            <w14:solidFill>
              <w14:schemeClr w14:val="tx1"/>
            </w14:solidFill>
          </w14:textFill>
        </w:rPr>
        <w:t>万元，占一</w:t>
      </w:r>
      <w:r>
        <w:rPr>
          <w:rFonts w:hint="eastAsia" w:ascii="仿宋_GB2312" w:hAnsi="Times New Roman" w:eastAsia="仿宋_GB2312" w:cs="Times New Roman"/>
          <w:color w:val="000000"/>
          <w:kern w:val="2"/>
          <w:sz w:val="32"/>
          <w:szCs w:val="32"/>
          <w:highlight w:val="none"/>
          <w:lang w:val="en-US" w:eastAsia="zh-CN" w:bidi="ar"/>
        </w:rPr>
        <w:t>般公共预算项目支出总额的</w:t>
      </w:r>
      <w:r>
        <w:rPr>
          <w:rFonts w:hint="eastAsia" w:ascii="仿宋_GB2312" w:eastAsia="仿宋_GB2312" w:cs="Times New Roman"/>
          <w:color w:val="000000"/>
          <w:kern w:val="2"/>
          <w:sz w:val="32"/>
          <w:szCs w:val="32"/>
          <w:highlight w:val="none"/>
          <w:lang w:val="en-US" w:eastAsia="zh-CN" w:bidi="ar"/>
        </w:rPr>
        <w:t>100</w:t>
      </w:r>
      <w:r>
        <w:rPr>
          <w:rFonts w:hint="eastAsia" w:ascii="仿宋_GB2312" w:hAnsi="Times New Roman" w:eastAsia="仿宋_GB2312" w:cs="Times New Roman"/>
          <w:color w:val="000000"/>
          <w:kern w:val="2"/>
          <w:sz w:val="32"/>
          <w:szCs w:val="32"/>
          <w:highlight w:val="none"/>
          <w:lang w:val="en-US" w:eastAsia="zh-CN" w:bidi="ar"/>
        </w:rPr>
        <w:t>%。</w:t>
      </w:r>
      <w:r>
        <w:rPr>
          <w:rFonts w:hint="eastAsia" w:ascii="仿宋_GB2312" w:eastAsia="仿宋_GB2312" w:cs="Times New Roman"/>
          <w:color w:val="000000"/>
          <w:kern w:val="2"/>
          <w:sz w:val="32"/>
          <w:szCs w:val="32"/>
          <w:highlight w:val="none"/>
          <w:lang w:val="en-US" w:eastAsia="zh-CN" w:bidi="ar"/>
        </w:rPr>
        <w:t>无</w:t>
      </w:r>
      <w:r>
        <w:rPr>
          <w:rFonts w:hint="eastAsia" w:ascii="仿宋_GB2312" w:hAnsi="Times New Roman" w:eastAsia="仿宋_GB2312" w:cs="Times New Roman"/>
          <w:color w:val="000000"/>
          <w:kern w:val="2"/>
          <w:sz w:val="32"/>
          <w:szCs w:val="32"/>
          <w:highlight w:val="none"/>
          <w:lang w:val="en-US" w:eastAsia="zh-CN" w:bidi="ar"/>
        </w:rPr>
        <w:t>政府性基金预算项目</w:t>
      </w:r>
      <w:r>
        <w:rPr>
          <w:rFonts w:hint="eastAsia" w:ascii="仿宋_GB2312" w:eastAsia="仿宋_GB2312" w:cs="Times New Roman"/>
          <w:color w:val="000000"/>
          <w:kern w:val="2"/>
          <w:sz w:val="32"/>
          <w:szCs w:val="32"/>
          <w:highlight w:val="none"/>
          <w:lang w:val="en-US" w:eastAsia="zh-CN" w:bidi="ar"/>
        </w:rPr>
        <w:t>，无</w:t>
      </w:r>
      <w:r>
        <w:rPr>
          <w:rFonts w:hint="eastAsia" w:ascii="仿宋_GB2312" w:hAnsi="Times New Roman" w:eastAsia="仿宋_GB2312" w:cs="Times New Roman"/>
          <w:color w:val="000000"/>
          <w:kern w:val="2"/>
          <w:sz w:val="32"/>
          <w:szCs w:val="32"/>
          <w:highlight w:val="none"/>
          <w:lang w:val="en-US" w:eastAsia="zh-CN" w:bidi="ar"/>
        </w:rPr>
        <w:t>国有资本经营预算项目。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共组织对“卫生城市巩固提升工作”等</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个项目</w:t>
      </w:r>
      <w:r>
        <w:rPr>
          <w:rFonts w:hint="eastAsia" w:ascii="仿宋_GB2312" w:eastAsia="仿宋_GB2312"/>
          <w:color w:val="000000"/>
          <w:sz w:val="32"/>
          <w:szCs w:val="32"/>
          <w:highlight w:val="none"/>
          <w:lang w:eastAsia="zh-CN"/>
        </w:rPr>
        <w:t>开展了部门</w:t>
      </w:r>
      <w:r>
        <w:rPr>
          <w:rFonts w:hint="eastAsia" w:ascii="仿宋_GB2312" w:eastAsia="仿宋_GB2312"/>
          <w:color w:val="000000"/>
          <w:sz w:val="32"/>
          <w:szCs w:val="32"/>
          <w:highlight w:val="none"/>
        </w:rPr>
        <w:t>评价，</w:t>
      </w:r>
      <w:r>
        <w:rPr>
          <w:rFonts w:hint="eastAsia" w:ascii="仿宋_GB2312" w:hAnsi="Times New Roman" w:eastAsia="仿宋_GB2312" w:cs="Times New Roman"/>
          <w:color w:val="000000"/>
          <w:kern w:val="2"/>
          <w:sz w:val="32"/>
          <w:szCs w:val="32"/>
          <w:highlight w:val="none"/>
          <w:lang w:val="en-US" w:eastAsia="zh-CN" w:bidi="ar"/>
        </w:rPr>
        <w:t>涉及一般公共预算支出</w:t>
      </w:r>
      <w:r>
        <w:rPr>
          <w:rFonts w:hint="eastAsia" w:ascii="仿宋_GB2312" w:eastAsia="仿宋_GB2312" w:cs="Times New Roman"/>
          <w:color w:val="000000"/>
          <w:kern w:val="2"/>
          <w:sz w:val="32"/>
          <w:szCs w:val="32"/>
          <w:highlight w:val="none"/>
          <w:lang w:val="en-US" w:eastAsia="zh-CN" w:bidi="ar"/>
        </w:rPr>
        <w:t>3.7</w:t>
      </w:r>
      <w:r>
        <w:rPr>
          <w:rFonts w:hint="eastAsia" w:ascii="仿宋_GB2312" w:hAnsi="Times New Roman" w:eastAsia="仿宋_GB2312" w:cs="Times New Roman"/>
          <w:color w:val="000000"/>
          <w:kern w:val="2"/>
          <w:sz w:val="32"/>
          <w:szCs w:val="32"/>
          <w:highlight w:val="none"/>
          <w:lang w:val="en-US" w:eastAsia="zh-CN" w:bidi="ar"/>
        </w:rPr>
        <w:t>万元，政府性基金预算支出</w:t>
      </w:r>
      <w:r>
        <w:rPr>
          <w:rFonts w:hint="eastAsia" w:ascii="仿宋_GB2312" w:eastAsia="仿宋_GB2312" w:cs="Times New Roman"/>
          <w:color w:val="000000"/>
          <w:kern w:val="2"/>
          <w:sz w:val="32"/>
          <w:szCs w:val="32"/>
          <w:highlight w:val="none"/>
          <w:lang w:val="en-US" w:eastAsia="zh-CN" w:bidi="ar"/>
        </w:rPr>
        <w:t>0</w:t>
      </w:r>
      <w:r>
        <w:rPr>
          <w:rFonts w:hint="eastAsia" w:ascii="仿宋_GB2312" w:hAnsi="Times New Roman" w:eastAsia="仿宋_GB2312" w:cs="Times New Roman"/>
          <w:color w:val="000000"/>
          <w:kern w:val="2"/>
          <w:sz w:val="32"/>
          <w:szCs w:val="32"/>
          <w:highlight w:val="none"/>
          <w:lang w:val="en-US" w:eastAsia="zh-CN" w:bidi="ar"/>
        </w:rPr>
        <w:t>万元，国有资本经营预算支出</w:t>
      </w:r>
      <w:r>
        <w:rPr>
          <w:rFonts w:hint="eastAsia" w:ascii="仿宋_GB2312" w:eastAsia="仿宋_GB2312" w:cs="Times New Roman"/>
          <w:color w:val="000000"/>
          <w:kern w:val="2"/>
          <w:sz w:val="32"/>
          <w:szCs w:val="32"/>
          <w:highlight w:val="none"/>
          <w:lang w:val="en-US" w:eastAsia="zh-CN" w:bidi="ar"/>
        </w:rPr>
        <w:t>0</w:t>
      </w:r>
      <w:r>
        <w:rPr>
          <w:rFonts w:hint="eastAsia" w:ascii="仿宋_GB2312" w:hAnsi="Times New Roman" w:eastAsia="仿宋_GB2312" w:cs="Times New Roman"/>
          <w:color w:val="000000"/>
          <w:kern w:val="2"/>
          <w:sz w:val="32"/>
          <w:szCs w:val="32"/>
          <w:highlight w:val="none"/>
          <w:lang w:val="en-US" w:eastAsia="zh-CN" w:bidi="ar"/>
        </w:rPr>
        <w:t>万元。</w:t>
      </w:r>
      <w:r>
        <w:rPr>
          <w:rFonts w:hint="eastAsia" w:ascii="仿宋_GB2312" w:eastAsia="仿宋_GB2312"/>
          <w:color w:val="000000"/>
          <w:sz w:val="32"/>
          <w:szCs w:val="32"/>
          <w:highlight w:val="none"/>
        </w:rPr>
        <w:t>从评价情况来看，</w:t>
      </w:r>
      <w:r>
        <w:rPr>
          <w:rFonts w:hint="eastAsia" w:ascii="仿宋_GB2312" w:eastAsia="仿宋_GB2312"/>
          <w:color w:val="000000"/>
          <w:sz w:val="32"/>
          <w:szCs w:val="32"/>
          <w:lang w:bidi="ar"/>
        </w:rPr>
        <w:t>该项目能够根据职能职责和上级要求，围绕绩效目标任务，扎实有序推进各项工作，较好地完成了全年各项工作任务，达成预期目标，根据重点项目绩效评价指标，该项目绩效部门评价得分为</w:t>
      </w:r>
      <w:r>
        <w:rPr>
          <w:rFonts w:hint="eastAsia" w:ascii="仿宋_GB2312" w:eastAsia="仿宋_GB2312"/>
          <w:color w:val="000000"/>
          <w:sz w:val="32"/>
          <w:szCs w:val="32"/>
          <w:lang w:val="en-US" w:eastAsia="zh-CN" w:bidi="ar"/>
        </w:rPr>
        <w:t>100</w:t>
      </w:r>
      <w:r>
        <w:rPr>
          <w:rFonts w:hint="eastAsia" w:ascii="仿宋_GB2312" w:eastAsia="仿宋_GB2312"/>
          <w:color w:val="000000"/>
          <w:sz w:val="32"/>
          <w:szCs w:val="32"/>
          <w:lang w:bidi="ar"/>
        </w:rPr>
        <w:t>分,绩效等级评定为优秀。</w:t>
      </w:r>
    </w:p>
    <w:p>
      <w:pPr>
        <w:widowControl/>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highlight w:val="none"/>
          <w:lang w:eastAsia="zh-CN"/>
        </w:rPr>
        <w:t>完成部门</w:t>
      </w:r>
      <w:r>
        <w:rPr>
          <w:rFonts w:hint="eastAsia" w:ascii="仿宋_GB2312" w:eastAsia="仿宋_GB2312"/>
          <w:color w:val="000000"/>
          <w:sz w:val="32"/>
          <w:szCs w:val="32"/>
          <w:highlight w:val="none"/>
        </w:rPr>
        <w:t>整体支出绩效评价，</w:t>
      </w:r>
      <w:r>
        <w:rPr>
          <w:rFonts w:hint="eastAsia" w:ascii="仿宋_GB2312" w:hAnsi="Times New Roman" w:eastAsia="仿宋_GB2312" w:cs="Times New Roman"/>
          <w:color w:val="000000"/>
          <w:kern w:val="2"/>
          <w:sz w:val="32"/>
          <w:szCs w:val="32"/>
          <w:highlight w:val="none"/>
          <w:lang w:val="en-US" w:eastAsia="zh-CN" w:bidi="ar"/>
        </w:rPr>
        <w:t>涉及一般公共预算支出</w:t>
      </w:r>
      <w:r>
        <w:rPr>
          <w:rFonts w:hint="eastAsia" w:ascii="仿宋_GB2312" w:eastAsia="仿宋_GB2312" w:cs="Times New Roman"/>
          <w:color w:val="000000"/>
          <w:kern w:val="2"/>
          <w:sz w:val="32"/>
          <w:szCs w:val="32"/>
          <w:highlight w:val="none"/>
          <w:lang w:val="en-US" w:eastAsia="zh-CN" w:bidi="ar"/>
        </w:rPr>
        <w:t>4723.48</w:t>
      </w:r>
      <w:r>
        <w:rPr>
          <w:rFonts w:hint="eastAsia" w:ascii="仿宋_GB2312" w:hAnsi="Times New Roman" w:eastAsia="仿宋_GB2312" w:cs="Times New Roman"/>
          <w:color w:val="000000"/>
          <w:kern w:val="2"/>
          <w:sz w:val="32"/>
          <w:szCs w:val="32"/>
          <w:highlight w:val="none"/>
          <w:lang w:val="en-US" w:eastAsia="zh-CN" w:bidi="ar"/>
        </w:rPr>
        <w:t>万元，政府性基金预算支出</w:t>
      </w:r>
      <w:r>
        <w:rPr>
          <w:rFonts w:hint="eastAsia" w:ascii="仿宋_GB2312" w:eastAsia="仿宋_GB2312" w:cs="Times New Roman"/>
          <w:color w:val="000000"/>
          <w:kern w:val="2"/>
          <w:sz w:val="32"/>
          <w:szCs w:val="32"/>
          <w:highlight w:val="none"/>
          <w:lang w:val="en-US" w:eastAsia="zh-CN" w:bidi="ar"/>
        </w:rPr>
        <w:t>0</w:t>
      </w:r>
      <w:r>
        <w:rPr>
          <w:rFonts w:hint="eastAsia" w:ascii="仿宋_GB2312" w:hAnsi="Times New Roman" w:eastAsia="仿宋_GB2312" w:cs="Times New Roman"/>
          <w:color w:val="000000"/>
          <w:kern w:val="2"/>
          <w:sz w:val="32"/>
          <w:szCs w:val="32"/>
          <w:highlight w:val="none"/>
          <w:lang w:val="en-US" w:eastAsia="zh-CN" w:bidi="ar"/>
        </w:rPr>
        <w:t>万元。</w:t>
      </w:r>
      <w:r>
        <w:rPr>
          <w:rFonts w:hint="eastAsia" w:ascii="仿宋_GB2312" w:eastAsia="仿宋_GB2312"/>
          <w:color w:val="000000"/>
          <w:sz w:val="32"/>
          <w:szCs w:val="32"/>
          <w:highlight w:val="none"/>
        </w:rPr>
        <w:t>从评价情况来看，</w:t>
      </w:r>
      <w:r>
        <w:rPr>
          <w:rFonts w:hint="eastAsia" w:ascii="仿宋_GB2312" w:eastAsia="仿宋_GB2312"/>
          <w:color w:val="000000"/>
          <w:sz w:val="32"/>
          <w:szCs w:val="32"/>
        </w:rPr>
        <w:t>得分合计</w:t>
      </w:r>
      <w:r>
        <w:rPr>
          <w:rFonts w:hint="eastAsia" w:ascii="仿宋_GB2312" w:eastAsia="仿宋_GB2312"/>
          <w:color w:val="000000"/>
          <w:sz w:val="32"/>
          <w:szCs w:val="32"/>
          <w:lang w:val="en-US" w:eastAsia="zh-CN"/>
        </w:rPr>
        <w:t>55.93</w:t>
      </w:r>
      <w:r>
        <w:rPr>
          <w:rFonts w:hint="eastAsia" w:ascii="仿宋_GB2312" w:eastAsia="仿宋_GB2312"/>
          <w:color w:val="000000"/>
          <w:sz w:val="32"/>
          <w:szCs w:val="32"/>
        </w:rPr>
        <w:t>分，其中预算编制(23分)得分为</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分、预算执行管理(55分)得分为</w:t>
      </w:r>
      <w:r>
        <w:rPr>
          <w:rFonts w:hint="eastAsia" w:ascii="仿宋_GB2312" w:eastAsia="仿宋_GB2312"/>
          <w:color w:val="000000"/>
          <w:sz w:val="32"/>
          <w:szCs w:val="32"/>
          <w:lang w:val="en-US" w:eastAsia="zh-CN"/>
        </w:rPr>
        <w:t>25.13</w:t>
      </w:r>
      <w:r>
        <w:rPr>
          <w:rFonts w:hint="eastAsia" w:ascii="仿宋_GB2312" w:eastAsia="仿宋_GB2312"/>
          <w:color w:val="000000"/>
          <w:sz w:val="32"/>
          <w:szCs w:val="32"/>
        </w:rPr>
        <w:t>分</w:t>
      </w:r>
      <w:r>
        <w:rPr>
          <w:rFonts w:hint="eastAsia" w:ascii="仿宋_GB2312" w:eastAsia="仿宋_GB2312"/>
          <w:color w:val="000000"/>
          <w:sz w:val="32"/>
          <w:szCs w:val="32"/>
          <w:lang w:eastAsia="zh-CN"/>
        </w:rPr>
        <w:t>、</w:t>
      </w:r>
      <w:r>
        <w:rPr>
          <w:rFonts w:hint="eastAsia" w:ascii="仿宋_GB2312" w:eastAsia="仿宋_GB2312"/>
          <w:color w:val="000000"/>
          <w:sz w:val="32"/>
          <w:szCs w:val="32"/>
        </w:rPr>
        <w:t>存量资金管理(12分)得分为</w:t>
      </w:r>
      <w:r>
        <w:rPr>
          <w:rFonts w:hint="eastAsia" w:ascii="仿宋_GB2312" w:eastAsia="仿宋_GB2312"/>
          <w:color w:val="000000"/>
          <w:sz w:val="32"/>
          <w:szCs w:val="32"/>
          <w:lang w:val="en-US" w:eastAsia="zh-CN"/>
        </w:rPr>
        <w:t>4.3</w:t>
      </w:r>
      <w:r>
        <w:rPr>
          <w:rFonts w:hint="eastAsia" w:ascii="仿宋_GB2312" w:eastAsia="仿宋_GB2312"/>
          <w:color w:val="000000"/>
          <w:sz w:val="32"/>
          <w:szCs w:val="32"/>
        </w:rPr>
        <w:t>分、三公经费管理(10分)得分为</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分</w:t>
      </w:r>
      <w:r>
        <w:rPr>
          <w:rFonts w:hint="eastAsia" w:ascii="仿宋_GB2312" w:eastAsia="仿宋_GB2312"/>
          <w:color w:val="000000"/>
          <w:sz w:val="32"/>
          <w:szCs w:val="32"/>
          <w:lang w:eastAsia="zh-CN"/>
        </w:rPr>
        <w:t>，加分项（</w:t>
      </w:r>
      <w:r>
        <w:rPr>
          <w:rFonts w:hint="eastAsia" w:ascii="仿宋_GB2312" w:eastAsia="仿宋_GB2312"/>
          <w:color w:val="000000"/>
          <w:sz w:val="32"/>
          <w:szCs w:val="32"/>
          <w:lang w:val="en-US" w:eastAsia="zh-CN"/>
        </w:rPr>
        <w:t>5分）得分为2.5分</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 w:val="0"/>
          <w:bCs/>
          <w:color w:val="000000"/>
          <w:sz w:val="32"/>
          <w:szCs w:val="32"/>
          <w:highlight w:val="none"/>
          <w:lang w:val="en-US" w:eastAsia="zh-CN"/>
        </w:rPr>
      </w:pPr>
      <w:r>
        <w:rPr>
          <w:rFonts w:hint="eastAsia" w:ascii="楷体" w:hAnsi="楷体" w:eastAsia="楷体" w:cs="楷体"/>
          <w:b w:val="0"/>
          <w:bCs/>
          <w:color w:val="000000"/>
          <w:sz w:val="32"/>
          <w:szCs w:val="32"/>
          <w:highlight w:val="none"/>
          <w:lang w:eastAsia="zh-CN"/>
        </w:rPr>
        <w:t>（二）</w:t>
      </w:r>
      <w:r>
        <w:rPr>
          <w:rFonts w:hint="eastAsia" w:ascii="楷体" w:hAnsi="楷体" w:eastAsia="楷体" w:cs="楷体"/>
          <w:b w:val="0"/>
          <w:bCs/>
          <w:color w:val="000000"/>
          <w:sz w:val="32"/>
          <w:szCs w:val="32"/>
          <w:highlight w:val="none"/>
        </w:rPr>
        <w:t>部门决算中项目绩效自评结果。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我部门在部门决算中反映民政发展专项资金、</w:t>
      </w:r>
      <w:r>
        <w:rPr>
          <w:rFonts w:ascii="仿宋_GB2312" w:hAnsi="仿宋_GB2312" w:eastAsia="仿宋_GB2312" w:cs="仿宋_GB2312"/>
          <w:sz w:val="32"/>
          <w:szCs w:val="32"/>
        </w:rPr>
        <w:t>临聘人员经费</w:t>
      </w:r>
      <w:r>
        <w:rPr>
          <w:rFonts w:hint="eastAsia" w:ascii="仿宋_GB2312" w:eastAsia="仿宋_GB2312"/>
          <w:color w:val="000000"/>
          <w:sz w:val="32"/>
          <w:szCs w:val="32"/>
          <w:highlight w:val="none"/>
          <w:lang w:val="en-US" w:eastAsia="zh-CN"/>
        </w:rPr>
        <w:t>等</w:t>
      </w:r>
      <w:r>
        <w:rPr>
          <w:rFonts w:hint="eastAsia" w:ascii="仿宋_GB2312" w:hAnsi="ˎ̥" w:eastAsia="仿宋_GB2312"/>
          <w:color w:val="000000"/>
          <w:sz w:val="32"/>
          <w:szCs w:val="32"/>
          <w:highlight w:val="none"/>
          <w:lang w:val="en-US" w:eastAsia="zh-CN"/>
        </w:rPr>
        <w:t>2</w:t>
      </w:r>
      <w:r>
        <w:rPr>
          <w:rFonts w:hint="eastAsia" w:ascii="仿宋_GB2312" w:eastAsia="仿宋_GB2312"/>
          <w:color w:val="000000"/>
          <w:sz w:val="32"/>
          <w:szCs w:val="32"/>
          <w:highlight w:val="none"/>
          <w:lang w:val="en-US" w:eastAsia="zh-CN"/>
        </w:rPr>
        <w:t>个项目绩效自评结果。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1.民政发展专项资金项目绩效自评表：</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highlight w:val="none"/>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1905</wp:posOffset>
                </wp:positionV>
                <wp:extent cx="5657215" cy="2791460"/>
                <wp:effectExtent l="0" t="0" r="635" b="8890"/>
                <wp:wrapNone/>
                <wp:docPr id="2" name="文本框 2"/>
                <wp:cNvGraphicFramePr/>
                <a:graphic xmlns:a="http://schemas.openxmlformats.org/drawingml/2006/main">
                  <a:graphicData uri="http://schemas.microsoft.com/office/word/2010/wordprocessingShape">
                    <wps:wsp>
                      <wps:cNvSpPr txBox="1"/>
                      <wps:spPr>
                        <a:xfrm>
                          <a:off x="1267460" y="6961505"/>
                          <a:ext cx="5657215" cy="2791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5594985" cy="2690495"/>
                                  <wp:effectExtent l="0" t="0" r="5715" b="14605"/>
                                  <wp:docPr id="3" name="图片 3" descr="微信图片_2023102512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025121013"/>
                                          <pic:cNvPicPr>
                                            <a:picLocks noChangeAspect="1"/>
                                          </pic:cNvPicPr>
                                        </pic:nvPicPr>
                                        <pic:blipFill>
                                          <a:blip r:embed="rId7"/>
                                          <a:stretch>
                                            <a:fillRect/>
                                          </a:stretch>
                                        </pic:blipFill>
                                        <pic:spPr>
                                          <a:xfrm>
                                            <a:off x="0" y="0"/>
                                            <a:ext cx="5594985" cy="2690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pt;margin-top:0.15pt;height:219.8pt;width:445.45pt;z-index:251659264;mso-width-relative:page;mso-height-relative:page;" fillcolor="#FFFFFF [3201]" filled="t" stroked="f" coordsize="21600,21600" o:gfxdata="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lgk2bVAAAA&#10;CAEAAA8AAAAAAAAAAQAgAAAAIgAAAGRycy9kb3ducmV2LnhtbFBLAQIUABQAAAAIAIdO4kDjQ1Wb&#10;WQIAAJwEAAAOAAAAAAAAAAEAIAAAACQBAABkcnMvZTJvRG9jLnhtbFBLBQYAAAAABgAGAFkBAADv&#10;BQAAAAA=&#10;">
                <v:fill on="t" focussize="0,0"/>
                <v:stroke on="f" weight="0.5pt"/>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5594985" cy="2690495"/>
                            <wp:effectExtent l="0" t="0" r="5715" b="14605"/>
                            <wp:docPr id="3" name="图片 3" descr="微信图片_2023102512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025121013"/>
                                    <pic:cNvPicPr>
                                      <a:picLocks noChangeAspect="1"/>
                                    </pic:cNvPicPr>
                                  </pic:nvPicPr>
                                  <pic:blipFill>
                                    <a:blip r:embed="rId7"/>
                                    <a:stretch>
                                      <a:fillRect/>
                                    </a:stretch>
                                  </pic:blipFill>
                                  <pic:spPr>
                                    <a:xfrm>
                                      <a:off x="0" y="0"/>
                                      <a:ext cx="5594985" cy="2690495"/>
                                    </a:xfrm>
                                    <a:prstGeom prst="rect">
                                      <a:avLst/>
                                    </a:prstGeom>
                                  </pic:spPr>
                                </pic:pic>
                              </a:graphicData>
                            </a:graphic>
                          </wp:inline>
                        </w:drawing>
                      </w:r>
                    </w:p>
                  </w:txbxContent>
                </v:textbox>
              </v:shape>
            </w:pict>
          </mc:Fallback>
        </mc:AlternateConten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olor w:val="000000"/>
          <w:sz w:val="32"/>
          <w:szCs w:val="32"/>
          <w:highlight w:val="none"/>
          <w:lang w:val="en-US" w:eastAsia="zh-CN"/>
        </w:rPr>
        <w:t>民政发展专项资金</w:t>
      </w:r>
      <w:r>
        <w:rPr>
          <w:rFonts w:hint="eastAsia" w:ascii="仿宋_GB2312" w:eastAsia="仿宋_GB2312"/>
          <w:color w:val="000000"/>
          <w:sz w:val="32"/>
          <w:szCs w:val="32"/>
          <w:highlight w:val="none"/>
          <w:lang w:eastAsia="zh-CN"/>
        </w:rPr>
        <w:t>项目绩效自评报告：</w:t>
      </w:r>
      <w:r>
        <w:rPr>
          <w:rFonts w:hint="eastAsia" w:ascii="仿宋_GB2312" w:eastAsia="仿宋_GB2312"/>
          <w:color w:val="000000"/>
          <w:sz w:val="32"/>
          <w:szCs w:val="32"/>
          <w:highlight w:val="none"/>
        </w:rPr>
        <w:t>根据年初设定的绩效目标，项目</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自评得分为</w:t>
      </w:r>
      <w:r>
        <w:rPr>
          <w:rFonts w:hint="eastAsia" w:ascii="仿宋_GB2312" w:eastAsia="仿宋_GB2312"/>
          <w:color w:val="000000"/>
          <w:sz w:val="32"/>
          <w:szCs w:val="32"/>
          <w:highlight w:val="none"/>
          <w:lang w:val="en-US" w:eastAsia="zh-CN"/>
        </w:rPr>
        <w:t>99.59</w:t>
      </w:r>
      <w:r>
        <w:rPr>
          <w:rFonts w:hint="eastAsia" w:ascii="仿宋_GB2312" w:eastAsia="仿宋_GB2312"/>
          <w:color w:val="000000"/>
          <w:sz w:val="32"/>
          <w:szCs w:val="32"/>
          <w:highlight w:val="none"/>
        </w:rPr>
        <w:t>分</w:t>
      </w:r>
      <w:r>
        <w:rPr>
          <w:rFonts w:hint="eastAsia" w:ascii="仿宋_GB2312" w:eastAsia="仿宋_GB2312"/>
          <w:color w:val="000000"/>
          <w:sz w:val="32"/>
          <w:szCs w:val="32"/>
          <w:highlight w:val="none"/>
          <w:lang w:eastAsia="zh-CN"/>
        </w:rPr>
        <w:t>。全年预算数为</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lang w:eastAsia="zh-CN"/>
        </w:rPr>
        <w:t>万元，执行数为</w:t>
      </w:r>
      <w:r>
        <w:rPr>
          <w:rFonts w:hint="eastAsia" w:ascii="仿宋_GB2312" w:eastAsia="仿宋_GB2312"/>
          <w:color w:val="000000"/>
          <w:sz w:val="32"/>
          <w:szCs w:val="32"/>
          <w:highlight w:val="none"/>
          <w:lang w:val="en-US" w:eastAsia="zh-CN"/>
        </w:rPr>
        <w:t>10.54</w:t>
      </w:r>
      <w:r>
        <w:rPr>
          <w:rFonts w:hint="eastAsia" w:ascii="仿宋_GB2312" w:eastAsia="仿宋_GB2312"/>
          <w:color w:val="000000"/>
          <w:sz w:val="32"/>
          <w:szCs w:val="32"/>
          <w:highlight w:val="none"/>
          <w:lang w:eastAsia="zh-CN"/>
        </w:rPr>
        <w:t>万元，完成预算的</w:t>
      </w:r>
      <w:r>
        <w:rPr>
          <w:rFonts w:hint="eastAsia" w:ascii="仿宋_GB2312" w:eastAsia="仿宋_GB2312"/>
          <w:color w:val="000000"/>
          <w:sz w:val="32"/>
          <w:szCs w:val="32"/>
          <w:highlight w:val="none"/>
          <w:lang w:val="en-US" w:eastAsia="zh-CN"/>
        </w:rPr>
        <w:t>95.85%。项目绩效目标完成情况：</w:t>
      </w:r>
      <w:r>
        <w:rPr>
          <w:rFonts w:hint="default"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val="en-US" w:eastAsia="zh-CN"/>
        </w:rPr>
        <w:t>基本完成了年度目标，完成了全年预算绩效工作</w:t>
      </w:r>
      <w:r>
        <w:rPr>
          <w:rFonts w:hint="default"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en-US" w:eastAsia="zh-CN"/>
        </w:rPr>
        <w:t>完成了产出指标、效益指标等年初设定的各项绩效目标。发现的主要问题及原因：高龄补贴的申请流程相对繁琐，审批周期较长，给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老人带来不便。下一步改进措施：优化申请流程和审批机制。</w:t>
      </w:r>
    </w:p>
    <w:p>
      <w:pPr>
        <w:pStyle w:val="11"/>
        <w:ind w:firstLine="480" w:firstLineChars="200"/>
        <w:rPr>
          <w:rFonts w:ascii="仿宋_GB2312" w:hAnsi="仿宋_GB2312" w:eastAsia="仿宋_GB2312" w:cs="仿宋_GB2312"/>
          <w:sz w:val="32"/>
          <w:szCs w:val="32"/>
        </w:rPr>
      </w:pPr>
      <w:r>
        <w:t xml:space="preserve"> </w:t>
      </w:r>
      <w:r>
        <w:rPr>
          <w:rFonts w:hint="eastAsia"/>
          <w:sz w:val="32"/>
          <w:szCs w:val="32"/>
          <w:lang w:val="en-US" w:eastAsia="zh-CN"/>
        </w:rPr>
        <w:t>2.</w:t>
      </w:r>
      <w:r>
        <w:rPr>
          <w:rFonts w:ascii="仿宋_GB2312" w:hAnsi="仿宋_GB2312" w:eastAsia="仿宋_GB2312" w:cs="仿宋_GB2312"/>
          <w:sz w:val="32"/>
          <w:szCs w:val="32"/>
        </w:rPr>
        <w:t>“临聘人员经费”项目绩效自评表：</w:t>
      </w:r>
    </w:p>
    <w:p>
      <w:pPr>
        <w:pStyle w:val="11"/>
        <w:ind w:firstLine="480" w:firstLineChars="200"/>
        <w:rPr>
          <w:rFonts w:hint="default" w:ascii="仿宋_GB2312" w:hAnsi="仿宋_GB2312" w:eastAsia="仿宋_GB2312" w:cs="仿宋_GB2312"/>
          <w:sz w:val="32"/>
          <w:szCs w:val="32"/>
        </w:rPr>
      </w:pPr>
      <w:r>
        <w:rPr>
          <w:szCs w:val="32"/>
        </w:rPr>
        <w:drawing>
          <wp:inline distT="0" distB="0" distL="114300" distR="114300">
            <wp:extent cx="5265420" cy="2755265"/>
            <wp:effectExtent l="0" t="0" r="11430" b="698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5265420" cy="2755265"/>
                    </a:xfrm>
                    <a:prstGeom prst="rect">
                      <a:avLst/>
                    </a:prstGeom>
                    <a:noFill/>
                    <a:ln>
                      <a:noFill/>
                    </a:ln>
                  </pic:spPr>
                </pic:pic>
              </a:graphicData>
            </a:graphic>
          </wp:inline>
        </w:drawing>
      </w:r>
    </w:p>
    <w:p>
      <w:pPr>
        <w:spacing w:line="560" w:lineRule="exact"/>
        <w:ind w:firstLine="640" w:firstLineChars="200"/>
        <w:rPr>
          <w:rFonts w:hint="eastAsia" w:ascii="仿宋_GB2312" w:hAnsi="ˎ̥" w:eastAsia="仿宋_GB2312"/>
          <w:color w:val="000000"/>
          <w:sz w:val="32"/>
          <w:szCs w:val="32"/>
        </w:rPr>
      </w:pPr>
      <w:r>
        <w:rPr>
          <w:rFonts w:hint="eastAsia" w:ascii="仿宋_GB2312" w:hAnsi="ˎ̥" w:eastAsia="仿宋_GB2312"/>
          <w:color w:val="000000"/>
          <w:sz w:val="32"/>
          <w:szCs w:val="32"/>
        </w:rPr>
        <w:t>“临聘人员经费”</w:t>
      </w:r>
      <w:r>
        <w:rPr>
          <w:rFonts w:ascii="仿宋_GB2312" w:hAnsi="ˎ̥" w:eastAsia="仿宋_GB2312"/>
          <w:color w:val="000000"/>
          <w:sz w:val="32"/>
          <w:szCs w:val="32"/>
        </w:rPr>
        <w:t>项目绩效自评报告：根据年初设定的绩效目标，</w:t>
      </w:r>
      <w:r>
        <w:rPr>
          <w:rFonts w:hint="eastAsia" w:ascii="仿宋_GB2312" w:hAnsi="ˎ̥" w:eastAsia="仿宋_GB2312"/>
          <w:color w:val="000000"/>
          <w:sz w:val="32"/>
          <w:szCs w:val="32"/>
        </w:rPr>
        <w:t>项目自评得分为100分。全年预算数为37.26万元，执行数为37.26万元，完成预算的100%。项目绩效目标完成情况：一是支出预算执行情况良好；二是项目资金按年初预算合理开支，按时发放每月工资、社会保险费。按规定完成年度预算要求，资金使用合理，没有出现违规现象，达到设定目标。发现的主要问题及原因：该项目绩效评价结果运用不充分，没有将该绩效评价与项目实际开展过程中的薪酬发放、临聘人员考核等方面相结合。原因在于年初设立绩效目标时，只考虑对象满意度、资金完成率等单一指标。下一步改进措施：健全科学规范的量化指标体系，合理利用评价结果，使绩效工作更有效推进单位工作开展。</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color w:val="000000" w:themeColor="text1"/>
          <w:sz w:val="32"/>
          <w:szCs w:val="32"/>
          <w:highlight w:val="none"/>
          <w:lang w:val="en-US"/>
          <w14:textFill>
            <w14:solidFill>
              <w14:schemeClr w14:val="tx1"/>
            </w14:solidFill>
          </w14:textFill>
        </w:rPr>
        <w:t>部门评价结果</w:t>
      </w:r>
      <w:r>
        <w:rPr>
          <w:rFonts w:hint="eastAsia" w:ascii="楷体" w:hAnsi="楷体" w:eastAsia="楷体" w:cs="楷体"/>
          <w:b w:val="0"/>
          <w:bCs/>
          <w:color w:val="000000" w:themeColor="text1"/>
          <w:sz w:val="32"/>
          <w:szCs w:val="32"/>
          <w:highlight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b w:val="0"/>
          <w:bCs/>
          <w:color w:val="0000FF"/>
          <w:sz w:val="32"/>
          <w:szCs w:val="32"/>
          <w:highlight w:val="none"/>
          <w:lang w:val="en-US" w:eastAsia="zh-CN"/>
        </w:rPr>
      </w:pPr>
    </w:p>
    <w:p>
      <w:pPr>
        <w:spacing w:before="104" w:line="329" w:lineRule="auto"/>
        <w:ind w:right="48" w:firstLine="67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卫生城市巩固提升工作项目部门评价报告</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1.基本情况</w:t>
      </w:r>
    </w:p>
    <w:p>
      <w:pPr>
        <w:keepNext w:val="0"/>
        <w:keepLines w:val="0"/>
        <w:pageBreakBefore w:val="0"/>
        <w:widowControl w:val="0"/>
        <w:kinsoku/>
        <w:wordWrap/>
        <w:overflowPunct/>
        <w:topLinePunct w:val="0"/>
        <w:autoSpaceDE/>
        <w:autoSpaceDN/>
        <w:bidi w:val="0"/>
        <w:adjustRightInd/>
        <w:snapToGrid/>
        <w:spacing w:line="570" w:lineRule="exact"/>
        <w:ind w:right="0" w:firstLine="670"/>
        <w:jc w:val="both"/>
        <w:textAlignment w:val="auto"/>
        <w:rPr>
          <w:rFonts w:hint="eastAsia" w:ascii="仿宋_GB2312" w:hAnsi="仿宋_GB2312" w:eastAsia="仿宋_GB2312" w:cs="仿宋_GB2312"/>
          <w:sz w:val="32"/>
          <w:szCs w:val="32"/>
          <w:lang w:val="en-US" w:eastAsia="zh-CN"/>
        </w:rPr>
      </w:pPr>
      <w:r>
        <w:rPr>
          <w:rFonts w:ascii="仿宋" w:hAnsi="仿宋" w:eastAsia="仿宋" w:cs="仿宋"/>
          <w:sz w:val="31"/>
          <w:szCs w:val="31"/>
        </w:rPr>
        <w:t>依照《国家卫生城市标准》《国家卫生城镇评估与管理办法》，中央文明办《全国文明城市测评体系》和市委市政府《关于巩固提升全国文明城市工作的意见》要求，由市委文明办牵头部署安排</w:t>
      </w:r>
      <w:r>
        <w:rPr>
          <w:rFonts w:hint="eastAsia" w:ascii="仿宋" w:hAnsi="仿宋" w:eastAsia="仿宋" w:cs="仿宋"/>
          <w:sz w:val="31"/>
          <w:szCs w:val="31"/>
          <w:lang w:eastAsia="zh-CN"/>
        </w:rPr>
        <w:t>琼山区、美兰区、龙华区、秀英区</w:t>
      </w:r>
      <w:r>
        <w:rPr>
          <w:rFonts w:ascii="仿宋" w:hAnsi="仿宋" w:eastAsia="仿宋" w:cs="仿宋"/>
          <w:sz w:val="31"/>
          <w:szCs w:val="31"/>
        </w:rPr>
        <w:t>4个区及市级各部门巩固提升全国文明城市国家卫生城市工作任务。</w:t>
      </w:r>
    </w:p>
    <w:p>
      <w:pPr>
        <w:keepNext w:val="0"/>
        <w:keepLines w:val="0"/>
        <w:pageBreakBefore w:val="0"/>
        <w:widowControl w:val="0"/>
        <w:kinsoku/>
        <w:wordWrap/>
        <w:overflowPunct/>
        <w:topLinePunct w:val="0"/>
        <w:autoSpaceDE/>
        <w:autoSpaceDN/>
        <w:bidi w:val="0"/>
        <w:adjustRightInd/>
        <w:snapToGrid/>
        <w:spacing w:line="570" w:lineRule="exact"/>
        <w:ind w:right="0" w:firstLine="67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2022年卫生城市巩固提升工作主要开展</w:t>
      </w:r>
      <w:r>
        <w:rPr>
          <w:rFonts w:ascii="仿宋" w:hAnsi="仿宋" w:eastAsia="仿宋" w:cs="仿宋"/>
          <w:sz w:val="31"/>
          <w:szCs w:val="31"/>
        </w:rPr>
        <w:t>病媒生物防制工作，消除鼠、蟑、蚊、蝇孳生场所；完成</w:t>
      </w:r>
      <w:r>
        <w:rPr>
          <w:rFonts w:hint="eastAsia" w:ascii="仿宋" w:hAnsi="仿宋" w:eastAsia="仿宋" w:cs="仿宋"/>
          <w:sz w:val="31"/>
          <w:szCs w:val="31"/>
          <w:lang w:eastAsia="zh-CN"/>
        </w:rPr>
        <w:t>提升路面硬化改造</w:t>
      </w:r>
      <w:r>
        <w:rPr>
          <w:rFonts w:ascii="仿宋" w:hAnsi="仿宋" w:eastAsia="仿宋" w:cs="仿宋"/>
          <w:sz w:val="31"/>
          <w:szCs w:val="31"/>
        </w:rPr>
        <w:t>建设</w:t>
      </w:r>
      <w:r>
        <w:rPr>
          <w:rFonts w:hint="eastAsia" w:ascii="仿宋" w:hAnsi="仿宋" w:eastAsia="仿宋" w:cs="仿宋"/>
          <w:sz w:val="31"/>
          <w:szCs w:val="31"/>
          <w:lang w:eastAsia="zh-CN"/>
        </w:rPr>
        <w:t>、公益广告制作工作</w:t>
      </w:r>
      <w:r>
        <w:rPr>
          <w:rFonts w:ascii="仿宋" w:hAnsi="仿宋" w:eastAsia="仿宋" w:cs="仿宋"/>
          <w:sz w:val="31"/>
          <w:szCs w:val="31"/>
        </w:rPr>
        <w:t>；完成全国文明城市、国家卫生城市复审工作；督查、考核其他责任单位开展公共基础设施、营商环境、生态环境、社会治理能力提升行动，城乡环境卫生、老旧小区、市场环境综合整治行动等工作；保障相关工作人员日常经费</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firstLine="42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2022年卫生城市巩固提升工作预算数3.7万元，全年执行数3.7万元，执行率为100%。</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年度总体目标：完成年度计划工作任务。绩效指标为：1.年度工作完成率≥90%，2.工作完成效益率≥90%。</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2.绩效评价工作开展情况</w:t>
      </w:r>
    </w:p>
    <w:p>
      <w:pPr>
        <w:keepNext w:val="0"/>
        <w:keepLines w:val="0"/>
        <w:pageBreakBefore w:val="0"/>
        <w:widowControl w:val="0"/>
        <w:kinsoku/>
        <w:wordWrap/>
        <w:overflowPunct/>
        <w:topLinePunct w:val="0"/>
        <w:autoSpaceDE/>
        <w:autoSpaceDN/>
        <w:bidi w:val="0"/>
        <w:adjustRightInd/>
        <w:snapToGrid/>
        <w:spacing w:line="570" w:lineRule="exact"/>
        <w:ind w:right="0" w:firstLine="67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运用规范的绩效指标体系和科学的评价方法，全面客观反应卫生城市巩固提升工作项目完成情况，及时总结经验，分析存在问题。</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3.综合评价情况及评价结论</w:t>
      </w:r>
    </w:p>
    <w:p>
      <w:pPr>
        <w:keepNext w:val="0"/>
        <w:keepLines w:val="0"/>
        <w:pageBreakBefore w:val="0"/>
        <w:widowControl w:val="0"/>
        <w:kinsoku/>
        <w:wordWrap/>
        <w:overflowPunct/>
        <w:topLinePunct w:val="0"/>
        <w:autoSpaceDE/>
        <w:autoSpaceDN/>
        <w:bidi w:val="0"/>
        <w:adjustRightInd/>
        <w:snapToGrid/>
        <w:spacing w:line="570" w:lineRule="exact"/>
        <w:ind w:right="0" w:firstLine="67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能够根据职能职责和上级要求，围绕绩效目标任务，扎实有序推进各项工作，较好地完成了全年各项工作任务，达成预期目标，根据重点项目绩效评价指标，该项目绩效部门评价得分为95分,绩效等级评定为优秀。</w:t>
      </w:r>
    </w:p>
    <w:p>
      <w:pPr>
        <w:numPr>
          <w:ilvl w:val="0"/>
          <w:numId w:val="0"/>
        </w:numPr>
        <w:ind w:left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4.财政评价指标分析</w:t>
      </w:r>
    </w:p>
    <w:tbl>
      <w:tblPr>
        <w:tblStyle w:val="5"/>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22"/>
        <w:gridCol w:w="1175"/>
        <w:gridCol w:w="1135"/>
        <w:gridCol w:w="1771"/>
        <w:gridCol w:w="116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一级指标</w:t>
            </w:r>
          </w:p>
        </w:tc>
        <w:tc>
          <w:tcPr>
            <w:tcW w:w="1122" w:type="dxa"/>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标准分值</w:t>
            </w:r>
          </w:p>
        </w:tc>
        <w:tc>
          <w:tcPr>
            <w:tcW w:w="1175" w:type="dxa"/>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二级指标</w:t>
            </w:r>
          </w:p>
        </w:tc>
        <w:tc>
          <w:tcPr>
            <w:tcW w:w="1135" w:type="dxa"/>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标准分值</w:t>
            </w:r>
          </w:p>
        </w:tc>
        <w:tc>
          <w:tcPr>
            <w:tcW w:w="1771" w:type="dxa"/>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三级指标</w:t>
            </w:r>
          </w:p>
        </w:tc>
        <w:tc>
          <w:tcPr>
            <w:tcW w:w="1162" w:type="dxa"/>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标准分值</w:t>
            </w:r>
          </w:p>
        </w:tc>
        <w:tc>
          <w:tcPr>
            <w:tcW w:w="1203" w:type="dxa"/>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restart"/>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项目决策</w:t>
            </w:r>
          </w:p>
        </w:tc>
        <w:tc>
          <w:tcPr>
            <w:tcW w:w="1122"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117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项目立项</w:t>
            </w:r>
          </w:p>
        </w:tc>
        <w:tc>
          <w:tcPr>
            <w:tcW w:w="113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立项依据充分性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立项程序规范性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绩效目标</w:t>
            </w:r>
          </w:p>
        </w:tc>
        <w:tc>
          <w:tcPr>
            <w:tcW w:w="113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绩效目标合理性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绩效指标明确性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资金投入</w:t>
            </w:r>
          </w:p>
        </w:tc>
        <w:tc>
          <w:tcPr>
            <w:tcW w:w="113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1771" w:type="dxa"/>
            <w:noWrap w:val="0"/>
            <w:vAlign w:val="center"/>
          </w:tcPr>
          <w:p>
            <w:pPr>
              <w:spacing w:before="104" w:line="329" w:lineRule="auto"/>
              <w:ind w:right="48"/>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预算编制科学性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资金分配合理性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项目过程</w:t>
            </w:r>
          </w:p>
        </w:tc>
        <w:tc>
          <w:tcPr>
            <w:tcW w:w="1122"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w:t>
            </w:r>
          </w:p>
        </w:tc>
        <w:tc>
          <w:tcPr>
            <w:tcW w:w="117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资金管理</w:t>
            </w:r>
          </w:p>
        </w:tc>
        <w:tc>
          <w:tcPr>
            <w:tcW w:w="113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1771" w:type="dxa"/>
            <w:noWrap w:val="0"/>
            <w:vAlign w:val="center"/>
          </w:tcPr>
          <w:p>
            <w:pPr>
              <w:spacing w:before="104" w:line="329" w:lineRule="auto"/>
              <w:ind w:right="48"/>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资金到位率</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预算执行率</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资金使用合规性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组织实施</w:t>
            </w:r>
          </w:p>
        </w:tc>
        <w:tc>
          <w:tcPr>
            <w:tcW w:w="113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管理制度健全性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制度执行有效性</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项目产出</w:t>
            </w:r>
          </w:p>
        </w:tc>
        <w:tc>
          <w:tcPr>
            <w:tcW w:w="1122"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w:t>
            </w:r>
          </w:p>
        </w:tc>
        <w:tc>
          <w:tcPr>
            <w:tcW w:w="1175"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产出数量</w:t>
            </w:r>
          </w:p>
        </w:tc>
        <w:tc>
          <w:tcPr>
            <w:tcW w:w="1135"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实际完成率</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产出质量</w:t>
            </w:r>
          </w:p>
        </w:tc>
        <w:tc>
          <w:tcPr>
            <w:tcW w:w="1135"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质量达标率</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产出时效</w:t>
            </w:r>
          </w:p>
        </w:tc>
        <w:tc>
          <w:tcPr>
            <w:tcW w:w="1135"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完成时效</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产出成本</w:t>
            </w:r>
          </w:p>
        </w:tc>
        <w:tc>
          <w:tcPr>
            <w:tcW w:w="1135"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成本控制率</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项目效益</w:t>
            </w:r>
          </w:p>
        </w:tc>
        <w:tc>
          <w:tcPr>
            <w:tcW w:w="1122"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w:t>
            </w:r>
          </w:p>
        </w:tc>
        <w:tc>
          <w:tcPr>
            <w:tcW w:w="117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项目效益</w:t>
            </w:r>
          </w:p>
        </w:tc>
        <w:tc>
          <w:tcPr>
            <w:tcW w:w="1135" w:type="dxa"/>
            <w:vMerge w:val="restart"/>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w:t>
            </w: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经济效益</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社会效益</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可持续影响</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22"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7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135" w:type="dxa"/>
            <w:vMerge w:val="continue"/>
            <w:noWrap w:val="0"/>
            <w:vAlign w:val="center"/>
          </w:tcPr>
          <w:p>
            <w:pPr>
              <w:spacing w:before="104" w:line="329" w:lineRule="auto"/>
              <w:ind w:right="48"/>
              <w:jc w:val="center"/>
              <w:rPr>
                <w:rFonts w:hint="eastAsia" w:ascii="宋体" w:hAnsi="宋体" w:eastAsia="宋体" w:cs="宋体"/>
                <w:sz w:val="21"/>
                <w:szCs w:val="21"/>
                <w:vertAlign w:val="baseline"/>
                <w:lang w:val="en-US" w:eastAsia="zh-CN"/>
              </w:rPr>
            </w:pPr>
          </w:p>
        </w:tc>
        <w:tc>
          <w:tcPr>
            <w:tcW w:w="1771" w:type="dxa"/>
            <w:noWrap w:val="0"/>
            <w:vAlign w:val="center"/>
          </w:tcPr>
          <w:p>
            <w:pPr>
              <w:spacing w:before="104" w:line="329" w:lineRule="auto"/>
              <w:ind w:right="48"/>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服务对象满意度</w:t>
            </w:r>
          </w:p>
        </w:tc>
        <w:tc>
          <w:tcPr>
            <w:tcW w:w="1162"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203" w:type="dxa"/>
            <w:noWrap w:val="0"/>
            <w:vAlign w:val="center"/>
          </w:tcPr>
          <w:p>
            <w:pPr>
              <w:spacing w:before="104" w:line="329" w:lineRule="auto"/>
              <w:ind w:right="48"/>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136" w:type="dxa"/>
            <w:noWrap w:val="0"/>
            <w:vAlign w:val="center"/>
          </w:tcPr>
          <w:p>
            <w:pPr>
              <w:spacing w:before="104" w:line="329" w:lineRule="auto"/>
              <w:ind w:right="48"/>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总分</w:t>
            </w:r>
          </w:p>
        </w:tc>
        <w:tc>
          <w:tcPr>
            <w:tcW w:w="1122" w:type="dxa"/>
            <w:noWrap w:val="0"/>
            <w:vAlign w:val="center"/>
          </w:tcPr>
          <w:p>
            <w:pPr>
              <w:spacing w:before="104" w:line="329" w:lineRule="auto"/>
              <w:ind w:right="48"/>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100</w:t>
            </w:r>
          </w:p>
        </w:tc>
        <w:tc>
          <w:tcPr>
            <w:tcW w:w="1175" w:type="dxa"/>
            <w:noWrap w:val="0"/>
            <w:vAlign w:val="center"/>
          </w:tcPr>
          <w:p>
            <w:pPr>
              <w:spacing w:before="104" w:line="329" w:lineRule="auto"/>
              <w:ind w:right="48"/>
              <w:jc w:val="center"/>
              <w:rPr>
                <w:rFonts w:hint="eastAsia" w:ascii="宋体" w:hAnsi="宋体" w:eastAsia="宋体" w:cs="宋体"/>
                <w:b/>
                <w:bCs/>
                <w:sz w:val="21"/>
                <w:szCs w:val="21"/>
                <w:vertAlign w:val="baseline"/>
                <w:lang w:val="en-US" w:eastAsia="zh-CN"/>
              </w:rPr>
            </w:pPr>
          </w:p>
        </w:tc>
        <w:tc>
          <w:tcPr>
            <w:tcW w:w="1135" w:type="dxa"/>
            <w:noWrap w:val="0"/>
            <w:vAlign w:val="center"/>
          </w:tcPr>
          <w:p>
            <w:pPr>
              <w:spacing w:before="104" w:line="329" w:lineRule="auto"/>
              <w:ind w:right="48"/>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100</w:t>
            </w:r>
          </w:p>
        </w:tc>
        <w:tc>
          <w:tcPr>
            <w:tcW w:w="1771" w:type="dxa"/>
            <w:noWrap w:val="0"/>
            <w:vAlign w:val="center"/>
          </w:tcPr>
          <w:p>
            <w:pPr>
              <w:spacing w:before="104" w:line="329" w:lineRule="auto"/>
              <w:ind w:right="48"/>
              <w:jc w:val="both"/>
              <w:rPr>
                <w:rFonts w:hint="eastAsia" w:ascii="宋体" w:hAnsi="宋体" w:eastAsia="宋体" w:cs="宋体"/>
                <w:b/>
                <w:bCs/>
                <w:sz w:val="21"/>
                <w:szCs w:val="21"/>
                <w:vertAlign w:val="baseline"/>
                <w:lang w:val="en-US" w:eastAsia="zh-CN"/>
              </w:rPr>
            </w:pPr>
          </w:p>
        </w:tc>
        <w:tc>
          <w:tcPr>
            <w:tcW w:w="1162" w:type="dxa"/>
            <w:noWrap w:val="0"/>
            <w:vAlign w:val="center"/>
          </w:tcPr>
          <w:p>
            <w:pPr>
              <w:spacing w:before="104" w:line="329" w:lineRule="auto"/>
              <w:ind w:right="48"/>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100</w:t>
            </w:r>
          </w:p>
        </w:tc>
        <w:tc>
          <w:tcPr>
            <w:tcW w:w="1203" w:type="dxa"/>
            <w:noWrap w:val="0"/>
            <w:vAlign w:val="center"/>
          </w:tcPr>
          <w:p>
            <w:pPr>
              <w:spacing w:before="104" w:line="329" w:lineRule="auto"/>
              <w:ind w:right="48"/>
              <w:jc w:val="center"/>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95</w:t>
            </w:r>
          </w:p>
        </w:tc>
      </w:tr>
    </w:tbl>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5.主要经验做法</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目标设定比较全面，资金使用合法、合规，项目成效较好。</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6.存在问题和建议</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绩效目标设定不够细化，建议进一步优化绩效目标。</w:t>
      </w:r>
    </w:p>
    <w:p>
      <w:pPr>
        <w:spacing w:line="560" w:lineRule="exact"/>
        <w:ind w:firstLine="640" w:firstLineChars="200"/>
        <w:rPr>
          <w:rFonts w:hint="eastAsia" w:ascii="楷体" w:hAnsi="楷体" w:eastAsia="楷体" w:cs="楷体"/>
          <w:bCs/>
          <w:color w:val="000000"/>
          <w:sz w:val="32"/>
          <w:szCs w:val="32"/>
        </w:rPr>
      </w:pPr>
      <w:r>
        <w:rPr>
          <w:rFonts w:hint="eastAsia" w:ascii="楷体" w:hAnsi="楷体" w:eastAsia="楷体" w:cs="楷体"/>
          <w:bCs/>
          <w:color w:val="000000"/>
          <w:sz w:val="32"/>
          <w:szCs w:val="32"/>
        </w:rPr>
        <w:t>（四）财政评价结果。</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十一、其他重要事项情况说明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98" w:name="_Toc18325_WPSOffice_Level2"/>
      <w:bookmarkStart w:id="99" w:name="_Toc32639_WPSOffice_Level2"/>
      <w:bookmarkStart w:id="100" w:name="_Toc23598_WPSOffice_Level2"/>
      <w:bookmarkStart w:id="101" w:name="_Toc15565_WPSOffice_Level2"/>
      <w:bookmarkStart w:id="102" w:name="_Toc5978_WPSOffice_Level2"/>
      <w:bookmarkStart w:id="103" w:name="_Toc15262_WPSOffice_Level2"/>
      <w:r>
        <w:rPr>
          <w:rFonts w:hint="eastAsia" w:ascii="楷体" w:hAnsi="楷体" w:eastAsia="楷体" w:cs="楷体"/>
          <w:bCs/>
          <w:color w:val="000000"/>
          <w:sz w:val="32"/>
          <w:szCs w:val="32"/>
          <w:highlight w:val="none"/>
        </w:rPr>
        <w:t>（一）机关运行经费支出情况。</w:t>
      </w:r>
      <w:bookmarkEnd w:id="98"/>
      <w:bookmarkEnd w:id="99"/>
      <w:bookmarkEnd w:id="100"/>
      <w:bookmarkEnd w:id="101"/>
      <w:bookmarkEnd w:id="102"/>
      <w:bookmarkEnd w:id="10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海口市琼山区府城街道办事处</w:t>
      </w:r>
      <w:r>
        <w:rPr>
          <w:rFonts w:hint="eastAsia" w:ascii="仿宋_GB2312" w:hAnsi="ˎ̥" w:eastAsia="仿宋_GB2312"/>
          <w:color w:val="000000"/>
          <w:sz w:val="32"/>
          <w:szCs w:val="32"/>
          <w:highlight w:val="none"/>
        </w:rPr>
        <w:t>部门机关运行经费</w:t>
      </w:r>
      <w:r>
        <w:rPr>
          <w:rFonts w:hint="eastAsia" w:ascii="仿宋_GB2312" w:hAnsi="ˎ̥" w:eastAsia="仿宋_GB2312"/>
          <w:color w:val="000000"/>
          <w:sz w:val="32"/>
          <w:szCs w:val="32"/>
          <w:highlight w:val="none"/>
          <w:lang w:val="en-US" w:eastAsia="zh-CN"/>
        </w:rPr>
        <w:t>99.73</w:t>
      </w:r>
      <w:r>
        <w:rPr>
          <w:rFonts w:hint="eastAsia" w:ascii="仿宋_GB2312" w:hAnsi="ˎ̥" w:eastAsia="仿宋_GB2312"/>
          <w:color w:val="000000"/>
          <w:sz w:val="32"/>
          <w:szCs w:val="32"/>
          <w:highlight w:val="none"/>
        </w:rPr>
        <w:t>万元，比年初预算减少</w:t>
      </w:r>
      <w:r>
        <w:rPr>
          <w:rFonts w:hint="eastAsia" w:ascii="仿宋_GB2312" w:hAnsi="ˎ̥" w:eastAsia="仿宋_GB2312"/>
          <w:color w:val="000000"/>
          <w:sz w:val="32"/>
          <w:szCs w:val="32"/>
          <w:highlight w:val="none"/>
          <w:lang w:val="en-US" w:eastAsia="zh-CN"/>
        </w:rPr>
        <w:t>101.84</w:t>
      </w:r>
      <w:r>
        <w:rPr>
          <w:rFonts w:hint="eastAsia" w:ascii="仿宋_GB2312" w:hAnsi="ˎ̥" w:eastAsia="仿宋_GB2312"/>
          <w:color w:val="000000"/>
          <w:sz w:val="32"/>
          <w:szCs w:val="32"/>
          <w:highlight w:val="none"/>
        </w:rPr>
        <w:t>万元，降低</w:t>
      </w:r>
      <w:r>
        <w:rPr>
          <w:rFonts w:hint="eastAsia" w:ascii="仿宋_GB2312" w:hAnsi="ˎ̥" w:eastAsia="仿宋_GB2312"/>
          <w:color w:val="000000"/>
          <w:sz w:val="32"/>
          <w:szCs w:val="32"/>
          <w:highlight w:val="none"/>
          <w:lang w:val="en-US" w:eastAsia="zh-CN"/>
        </w:rPr>
        <w:t>102.1</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bidi="ar"/>
        </w:rPr>
        <w:t>办公设施设备购置</w:t>
      </w:r>
      <w:r>
        <w:rPr>
          <w:rFonts w:hint="eastAsia" w:ascii="仿宋_GB2312" w:hAnsi="ˎ̥" w:eastAsia="仿宋_GB2312"/>
          <w:color w:val="000000"/>
          <w:sz w:val="32"/>
          <w:szCs w:val="32"/>
          <w:highlight w:val="none"/>
          <w:lang w:eastAsia="zh-CN" w:bidi="ar"/>
        </w:rPr>
        <w:t>支出</w:t>
      </w:r>
      <w:r>
        <w:rPr>
          <w:rFonts w:hint="eastAsia" w:ascii="仿宋_GB2312" w:hAnsi="ˎ̥" w:eastAsia="仿宋_GB2312"/>
          <w:color w:val="000000"/>
          <w:sz w:val="32"/>
          <w:szCs w:val="32"/>
          <w:highlight w:val="none"/>
          <w:lang w:bidi="ar"/>
        </w:rPr>
        <w:t>减少</w:t>
      </w:r>
      <w:r>
        <w:rPr>
          <w:rFonts w:hint="eastAsia" w:ascii="仿宋_GB2312" w:hAnsi="ˎ̥" w:eastAsia="仿宋_GB2312"/>
          <w:color w:val="000000"/>
          <w:sz w:val="32"/>
          <w:szCs w:val="32"/>
          <w:highlight w:val="none"/>
          <w:lang w:eastAsia="zh-CN" w:bidi="ar"/>
        </w:rPr>
        <w:t>、办公费支出减少、</w:t>
      </w:r>
      <w:r>
        <w:rPr>
          <w:rFonts w:hint="eastAsia" w:ascii="仿宋_GB2312" w:hAnsi="ˎ̥" w:eastAsia="仿宋_GB2312"/>
          <w:color w:val="000000"/>
          <w:sz w:val="32"/>
          <w:szCs w:val="32"/>
          <w:highlight w:val="none"/>
          <w:lang w:bidi="ar"/>
        </w:rPr>
        <w:t>资产运行维护支出减少</w:t>
      </w:r>
      <w:r>
        <w:rPr>
          <w:rFonts w:hint="eastAsia" w:ascii="仿宋_GB2312" w:hAnsi="ˎ̥" w:eastAsia="仿宋_GB2312"/>
          <w:color w:val="000000"/>
          <w:sz w:val="32"/>
          <w:szCs w:val="32"/>
          <w:highlight w:val="none"/>
          <w:lang w:eastAsia="zh-CN" w:bidi="ar"/>
        </w:rPr>
        <w:t>、培训费支出减少，</w:t>
      </w:r>
      <w:r>
        <w:rPr>
          <w:rFonts w:hint="eastAsia" w:ascii="仿宋_GB2312" w:hAnsi="ˎ̥" w:eastAsia="仿宋_GB2312"/>
          <w:color w:val="000000"/>
          <w:sz w:val="32"/>
          <w:szCs w:val="32"/>
          <w:lang w:bidi="ar"/>
        </w:rPr>
        <w:t>落实过紧日子要求压减办公支出</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4" w:name="_Toc3131_WPSOffice_Level2"/>
      <w:bookmarkStart w:id="105" w:name="_Toc30383_WPSOffice_Level2"/>
      <w:bookmarkStart w:id="106" w:name="_Toc13084_WPSOffice_Level2"/>
      <w:bookmarkStart w:id="107" w:name="_Toc23966_WPSOffice_Level2"/>
      <w:bookmarkStart w:id="108" w:name="_Toc25333_WPSOffice_Level2"/>
      <w:bookmarkStart w:id="109" w:name="_Toc32689_WPSOffice_Level2"/>
      <w:r>
        <w:rPr>
          <w:rFonts w:hint="eastAsia" w:ascii="楷体" w:hAnsi="楷体" w:eastAsia="楷体" w:cs="楷体"/>
          <w:bCs/>
          <w:color w:val="000000"/>
          <w:sz w:val="32"/>
          <w:szCs w:val="32"/>
          <w:highlight w:val="none"/>
        </w:rPr>
        <w:t>（二）政府采购支出情况。</w:t>
      </w:r>
      <w:bookmarkEnd w:id="104"/>
      <w:bookmarkEnd w:id="105"/>
      <w:bookmarkEnd w:id="106"/>
      <w:bookmarkEnd w:id="107"/>
      <w:bookmarkEnd w:id="108"/>
      <w:bookmarkEnd w:id="1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海口市琼山区府城街道办事处</w:t>
      </w:r>
      <w:r>
        <w:rPr>
          <w:rFonts w:hint="eastAsia" w:ascii="仿宋_GB2312" w:hAnsi="ˎ̥" w:eastAsia="仿宋_GB2312"/>
          <w:color w:val="000000"/>
          <w:sz w:val="32"/>
          <w:szCs w:val="32"/>
          <w:highlight w:val="none"/>
        </w:rPr>
        <w:t>部门政府采购支出总额</w:t>
      </w:r>
      <w:r>
        <w:rPr>
          <w:rFonts w:hint="eastAsia" w:ascii="仿宋_GB2312" w:hAnsi="ˎ̥" w:eastAsia="仿宋_GB2312"/>
          <w:color w:val="000000"/>
          <w:sz w:val="32"/>
          <w:szCs w:val="32"/>
          <w:highlight w:val="none"/>
          <w:lang w:val="en-US" w:eastAsia="zh-CN"/>
        </w:rPr>
        <w:t>6.49</w:t>
      </w:r>
      <w:r>
        <w:rPr>
          <w:rFonts w:hint="eastAsia" w:ascii="仿宋_GB2312" w:hAnsi="ˎ̥" w:eastAsia="仿宋_GB2312"/>
          <w:color w:val="000000"/>
          <w:sz w:val="32"/>
          <w:szCs w:val="32"/>
          <w:highlight w:val="none"/>
        </w:rPr>
        <w:t>万元，其中：政府采购货物支出</w:t>
      </w:r>
      <w:r>
        <w:rPr>
          <w:rFonts w:hint="eastAsia" w:ascii="仿宋_GB2312" w:hAnsi="ˎ̥" w:eastAsia="仿宋_GB2312"/>
          <w:color w:val="000000"/>
          <w:sz w:val="32"/>
          <w:szCs w:val="32"/>
          <w:highlight w:val="none"/>
          <w:lang w:val="en-US" w:eastAsia="zh-CN"/>
        </w:rPr>
        <w:t>6.49</w:t>
      </w:r>
      <w:r>
        <w:rPr>
          <w:rFonts w:hint="eastAsia" w:ascii="仿宋_GB2312" w:hAnsi="ˎ̥" w:eastAsia="仿宋_GB2312"/>
          <w:color w:val="000000"/>
          <w:sz w:val="32"/>
          <w:szCs w:val="32"/>
          <w:highlight w:val="none"/>
        </w:rPr>
        <w:t>万元、政府采购工程支出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万元、政府采购服务支出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万元。授予中小企业合同金额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万元，占政府采购支出总额的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%，其中：授予小微企业合同金额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仿宋_GB2312" w:eastAsia="仿宋_GB2312" w:cs="仿宋_GB2312"/>
          <w:color w:val="000000"/>
          <w:kern w:val="0"/>
          <w:sz w:val="32"/>
          <w:szCs w:val="32"/>
          <w:highlight w:val="none"/>
          <w:lang w:bidi="ar"/>
        </w:rPr>
        <w:t>授予中小企业合同金额</w:t>
      </w:r>
      <w:r>
        <w:rPr>
          <w:rFonts w:hint="eastAsia" w:ascii="仿宋_GB2312" w:hAnsi="仿宋_GB2312" w:eastAsia="仿宋_GB2312" w:cs="仿宋_GB2312"/>
          <w:color w:val="000000"/>
          <w:sz w:val="32"/>
          <w:szCs w:val="32"/>
          <w:highlight w:val="none"/>
        </w:rPr>
        <w:t>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10" w:name="_Toc527_WPSOffice_Level2"/>
      <w:bookmarkStart w:id="111" w:name="_Toc29584_WPSOffice_Level2"/>
      <w:bookmarkStart w:id="112" w:name="_Toc10902_WPSOffice_Level2"/>
      <w:bookmarkStart w:id="113" w:name="_Toc19989_WPSOffice_Level2"/>
      <w:bookmarkStart w:id="114" w:name="_Toc15129_WPSOffice_Level2"/>
      <w:bookmarkStart w:id="115" w:name="_Toc6016_WPSOffice_Level2"/>
      <w:r>
        <w:rPr>
          <w:rFonts w:hint="eastAsia" w:ascii="楷体" w:hAnsi="楷体" w:eastAsia="楷体" w:cs="楷体"/>
          <w:bCs/>
          <w:color w:val="000000"/>
          <w:sz w:val="32"/>
          <w:szCs w:val="32"/>
          <w:highlight w:val="none"/>
        </w:rPr>
        <w:t>（三）国有资产占用情况。</w:t>
      </w:r>
      <w:bookmarkEnd w:id="110"/>
      <w:bookmarkEnd w:id="111"/>
      <w:bookmarkEnd w:id="112"/>
      <w:bookmarkEnd w:id="113"/>
      <w:bookmarkEnd w:id="114"/>
      <w:bookmarkEnd w:id="11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bCs/>
          <w:color w:val="000000"/>
          <w:sz w:val="32"/>
          <w:szCs w:val="32"/>
          <w:highlight w:val="none"/>
        </w:rPr>
        <w:t>截至2022年12月3</w:t>
      </w:r>
      <w:r>
        <w:rPr>
          <w:rFonts w:hint="eastAsia" w:ascii="仿宋_GB2312" w:hAnsi="ˎ̥" w:eastAsia="仿宋_GB2312"/>
          <w:color w:val="000000"/>
          <w:sz w:val="32"/>
          <w:szCs w:val="32"/>
          <w:highlight w:val="none"/>
        </w:rPr>
        <w:t>1日，本部门拥有</w:t>
      </w:r>
      <w:r>
        <w:rPr>
          <w:rFonts w:hint="eastAsia" w:ascii="仿宋_GB2312" w:hAnsi="ˎ̥" w:eastAsia="仿宋_GB2312"/>
          <w:color w:val="000000"/>
          <w:sz w:val="32"/>
          <w:szCs w:val="32"/>
          <w:highlight w:val="none"/>
        </w:rPr>
        <w:t>房屋面积</w:t>
      </w:r>
      <w:r>
        <w:rPr>
          <w:rFonts w:hint="eastAsia" w:ascii="仿宋_GB2312" w:hAnsi="ˎ̥" w:eastAsia="仿宋_GB2312"/>
          <w:color w:val="000000"/>
          <w:sz w:val="32"/>
          <w:szCs w:val="32"/>
          <w:highlight w:val="none"/>
          <w:lang w:val="en-US" w:eastAsia="zh-CN"/>
        </w:rPr>
        <w:t>892.55</w:t>
      </w:r>
      <w:r>
        <w:rPr>
          <w:rFonts w:hint="eastAsia" w:ascii="仿宋_GB2312" w:hAnsi="ˎ̥" w:eastAsia="仿宋_GB2312"/>
          <w:color w:val="000000"/>
          <w:sz w:val="32"/>
          <w:szCs w:val="32"/>
          <w:highlight w:val="none"/>
        </w:rPr>
        <w:t>平方米，其中：办公用房</w:t>
      </w:r>
      <w:r>
        <w:rPr>
          <w:rFonts w:hint="eastAsia" w:ascii="仿宋_GB2312" w:hAnsi="ˎ̥" w:eastAsia="仿宋_GB2312"/>
          <w:color w:val="000000"/>
          <w:sz w:val="32"/>
          <w:szCs w:val="32"/>
          <w:highlight w:val="none"/>
          <w:lang w:val="en-US" w:eastAsia="zh-CN"/>
        </w:rPr>
        <w:t>392.55</w:t>
      </w:r>
      <w:r>
        <w:rPr>
          <w:rFonts w:hint="eastAsia" w:ascii="仿宋_GB2312" w:hAnsi="ˎ̥" w:eastAsia="仿宋_GB2312"/>
          <w:color w:val="000000"/>
          <w:sz w:val="32"/>
          <w:szCs w:val="32"/>
          <w:highlight w:val="none"/>
        </w:rPr>
        <w:t>平方米，业务用房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平方米，其他（不含构筑物）</w:t>
      </w:r>
      <w:r>
        <w:rPr>
          <w:rFonts w:hint="eastAsia" w:ascii="仿宋_GB2312" w:hAnsi="ˎ̥" w:eastAsia="仿宋_GB2312"/>
          <w:color w:val="000000"/>
          <w:sz w:val="32"/>
          <w:szCs w:val="32"/>
          <w:highlight w:val="none"/>
          <w:lang w:val="en-US" w:eastAsia="zh-CN"/>
        </w:rPr>
        <w:t>500</w:t>
      </w:r>
      <w:r>
        <w:rPr>
          <w:rFonts w:hint="eastAsia" w:ascii="仿宋_GB2312" w:hAnsi="ˎ̥" w:eastAsia="仿宋_GB2312"/>
          <w:color w:val="000000"/>
          <w:sz w:val="32"/>
          <w:szCs w:val="32"/>
          <w:highlight w:val="none"/>
        </w:rPr>
        <w:t>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本部门共有车辆</w:t>
      </w:r>
      <w:r>
        <w:rPr>
          <w:rFonts w:hint="eastAsia" w:ascii="仿宋_GB2312" w:hAnsi="ˎ̥" w:eastAsia="仿宋_GB2312"/>
          <w:color w:val="000000"/>
          <w:sz w:val="32"/>
          <w:szCs w:val="32"/>
          <w:highlight w:val="none"/>
          <w:lang w:val="en-US" w:eastAsia="zh-CN"/>
        </w:rPr>
        <w:t>5</w:t>
      </w:r>
      <w:r>
        <w:rPr>
          <w:rFonts w:hint="eastAsia" w:ascii="仿宋_GB2312" w:hAnsi="ˎ̥" w:eastAsia="仿宋_GB2312"/>
          <w:color w:val="000000"/>
          <w:sz w:val="32"/>
          <w:szCs w:val="32"/>
          <w:highlight w:val="none"/>
        </w:rPr>
        <w:t>辆，其中，副部（省）级及以上领导用车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辆、主要领导干部用车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辆、机要通信用车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辆、应急保障用车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辆、执法执勤用车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辆、特种专业技术用车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辆、离退休干部用车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辆、其他用车</w:t>
      </w:r>
      <w:r>
        <w:rPr>
          <w:rFonts w:hint="eastAsia" w:ascii="仿宋_GB2312" w:hAnsi="ˎ̥" w:eastAsia="仿宋_GB2312"/>
          <w:color w:val="000000"/>
          <w:sz w:val="32"/>
          <w:szCs w:val="32"/>
          <w:highlight w:val="none"/>
          <w:lang w:val="en-US" w:eastAsia="zh-CN"/>
        </w:rPr>
        <w:t>5</w:t>
      </w:r>
      <w:r>
        <w:rPr>
          <w:rFonts w:hint="eastAsia" w:ascii="仿宋_GB2312" w:hAnsi="ˎ̥" w:eastAsia="仿宋_GB2312"/>
          <w:color w:val="000000"/>
          <w:sz w:val="32"/>
          <w:szCs w:val="32"/>
          <w:highlight w:val="none"/>
        </w:rPr>
        <w:t>辆，其他用车主要是……。单价100万元（含）以上设备（不含车辆）</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年末在建工程</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16" w:name="_Toc17580_WPSOffice_Level1"/>
      <w:bookmarkStart w:id="117" w:name="_Toc8874_WPSOffice_Level1"/>
      <w:bookmarkStart w:id="118" w:name="_Toc15425_WPSOffice_Level1"/>
      <w:bookmarkStart w:id="119" w:name="_Toc4398_WPSOffice_Level1"/>
      <w:bookmarkStart w:id="120" w:name="_Toc11039_WPSOffice_Level1"/>
      <w:bookmarkStart w:id="121" w:name="_Toc8808_WPSOffice_Level1"/>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第四部分  名词解释</w:t>
      </w:r>
      <w:bookmarkEnd w:id="116"/>
      <w:bookmarkEnd w:id="117"/>
      <w:bookmarkEnd w:id="118"/>
      <w:bookmarkEnd w:id="119"/>
      <w:bookmarkEnd w:id="120"/>
      <w:bookmarkEnd w:id="121"/>
      <w:bookmarkStart w:id="122" w:name="_GoBack"/>
      <w:bookmarkEnd w:id="12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numPr>
          <w:ilvl w:val="0"/>
          <w:numId w:val="8"/>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财政拨款收入：指同级政府财政部门当年拨付的各类财政拨款。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kinsoku/>
        <w:wordWrap/>
        <w:overflowPunct/>
        <w:topLinePunct w:val="0"/>
        <w:autoSpaceDE/>
        <w:autoSpaceDN/>
        <w:bidi w:val="0"/>
        <w:adjustRightInd/>
        <w:snapToGrid/>
        <w:spacing w:line="560" w:lineRule="exact"/>
        <w:textAlignment w:val="auto"/>
        <w:rPr>
          <w:color w:val="000000"/>
          <w:highlight w:val="none"/>
        </w:rPr>
      </w:pPr>
    </w:p>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Pr>
                          </w:pPr>
                          <w:r>
                            <w:rPr>
                              <w:rStyle w:val="7"/>
                            </w:rPr>
                            <w:t xml:space="preserve">— </w:t>
                          </w:r>
                          <w:r>
                            <w:rPr>
                              <w:rStyle w:val="7"/>
                            </w:rPr>
                            <w:fldChar w:fldCharType="begin"/>
                          </w:r>
                          <w:r>
                            <w:rPr>
                              <w:rStyle w:val="7"/>
                            </w:rPr>
                            <w:instrText xml:space="preserve"> PAGE  \* MERGEFORMAT </w:instrText>
                          </w:r>
                          <w:r>
                            <w:rPr>
                              <w:rStyle w:val="7"/>
                            </w:rPr>
                            <w:fldChar w:fldCharType="separate"/>
                          </w:r>
                          <w:r>
                            <w:rPr>
                              <w:rStyle w:val="7"/>
                            </w:rPr>
                            <w:t>1</w:t>
                          </w:r>
                          <w:r>
                            <w:rPr>
                              <w:rStyle w:val="7"/>
                            </w:rPr>
                            <w:fldChar w:fldCharType="end"/>
                          </w:r>
                          <w:r>
                            <w:rPr>
                              <w:rStyle w:val="7"/>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rPr>
                        <w:rStyle w:val="7"/>
                      </w:rPr>
                    </w:pPr>
                    <w:r>
                      <w:rPr>
                        <w:rStyle w:val="7"/>
                      </w:rPr>
                      <w:t xml:space="preserve">— </w:t>
                    </w:r>
                    <w:r>
                      <w:rPr>
                        <w:rStyle w:val="7"/>
                      </w:rPr>
                      <w:fldChar w:fldCharType="begin"/>
                    </w:r>
                    <w:r>
                      <w:rPr>
                        <w:rStyle w:val="7"/>
                      </w:rPr>
                      <w:instrText xml:space="preserve"> PAGE  \* MERGEFORMAT </w:instrText>
                    </w:r>
                    <w:r>
                      <w:rPr>
                        <w:rStyle w:val="7"/>
                      </w:rPr>
                      <w:fldChar w:fldCharType="separate"/>
                    </w:r>
                    <w:r>
                      <w:rPr>
                        <w:rStyle w:val="7"/>
                      </w:rPr>
                      <w:t>1</w:t>
                    </w:r>
                    <w:r>
                      <w:rPr>
                        <w:rStyle w:val="7"/>
                      </w:rPr>
                      <w:fldChar w:fldCharType="end"/>
                    </w:r>
                    <w:r>
                      <w:rPr>
                        <w:rStyle w:val="7"/>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033E5"/>
    <w:multiLevelType w:val="singleLevel"/>
    <w:tmpl w:val="805033E5"/>
    <w:lvl w:ilvl="0" w:tentative="0">
      <w:start w:val="21"/>
      <w:numFmt w:val="decimal"/>
      <w:lvlText w:val="%1."/>
      <w:lvlJc w:val="left"/>
      <w:pPr>
        <w:tabs>
          <w:tab w:val="left" w:pos="312"/>
        </w:tabs>
      </w:pPr>
    </w:lvl>
  </w:abstractNum>
  <w:abstractNum w:abstractNumId="1">
    <w:nsid w:val="953CA86A"/>
    <w:multiLevelType w:val="singleLevel"/>
    <w:tmpl w:val="953CA86A"/>
    <w:lvl w:ilvl="0" w:tentative="0">
      <w:start w:val="8"/>
      <w:numFmt w:val="decimal"/>
      <w:lvlText w:val="%1."/>
      <w:lvlJc w:val="left"/>
      <w:pPr>
        <w:tabs>
          <w:tab w:val="left" w:pos="312"/>
        </w:tabs>
      </w:pPr>
    </w:lvl>
  </w:abstractNum>
  <w:abstractNum w:abstractNumId="2">
    <w:nsid w:val="AFFC2DCC"/>
    <w:multiLevelType w:val="singleLevel"/>
    <w:tmpl w:val="AFFC2DCC"/>
    <w:lvl w:ilvl="0" w:tentative="0">
      <w:start w:val="1"/>
      <w:numFmt w:val="chineseCounting"/>
      <w:suff w:val="nothing"/>
      <w:lvlText w:val="%1、"/>
      <w:lvlJc w:val="left"/>
      <w:rPr>
        <w:rFonts w:hint="eastAsia"/>
      </w:rPr>
    </w:lvl>
  </w:abstractNum>
  <w:abstractNum w:abstractNumId="3">
    <w:nsid w:val="D6CE026E"/>
    <w:multiLevelType w:val="singleLevel"/>
    <w:tmpl w:val="D6CE026E"/>
    <w:lvl w:ilvl="0" w:tentative="0">
      <w:start w:val="16"/>
      <w:numFmt w:val="decimal"/>
      <w:lvlText w:val="%1."/>
      <w:lvlJc w:val="left"/>
      <w:pPr>
        <w:tabs>
          <w:tab w:val="left" w:pos="312"/>
        </w:tabs>
      </w:pPr>
    </w:lvl>
  </w:abstractNum>
  <w:abstractNum w:abstractNumId="4">
    <w:nsid w:val="FF8AAFED"/>
    <w:multiLevelType w:val="singleLevel"/>
    <w:tmpl w:val="FF8AAFED"/>
    <w:lvl w:ilvl="0" w:tentative="0">
      <w:start w:val="1"/>
      <w:numFmt w:val="decimal"/>
      <w:lvlText w:val="%1."/>
      <w:lvlJc w:val="left"/>
      <w:pPr>
        <w:tabs>
          <w:tab w:val="left" w:pos="312"/>
        </w:tabs>
      </w:pPr>
    </w:lvl>
  </w:abstractNum>
  <w:abstractNum w:abstractNumId="5">
    <w:nsid w:val="FFDBCB41"/>
    <w:multiLevelType w:val="singleLevel"/>
    <w:tmpl w:val="FFDBCB41"/>
    <w:lvl w:ilvl="0" w:tentative="0">
      <w:start w:val="31"/>
      <w:numFmt w:val="decimal"/>
      <w:lvlText w:val="%1."/>
      <w:lvlJc w:val="left"/>
      <w:pPr>
        <w:tabs>
          <w:tab w:val="left" w:pos="312"/>
        </w:tabs>
      </w:pPr>
    </w:lvl>
  </w:abstractNum>
  <w:abstractNum w:abstractNumId="6">
    <w:nsid w:val="2D9A62F9"/>
    <w:multiLevelType w:val="singleLevel"/>
    <w:tmpl w:val="2D9A62F9"/>
    <w:lvl w:ilvl="0" w:tentative="0">
      <w:start w:val="3"/>
      <w:numFmt w:val="chineseCounting"/>
      <w:suff w:val="nothing"/>
      <w:lvlText w:val="（%1）"/>
      <w:lvlJc w:val="left"/>
      <w:rPr>
        <w:rFonts w:hint="eastAsia"/>
      </w:rPr>
    </w:lvl>
  </w:abstractNum>
  <w:abstractNum w:abstractNumId="7">
    <w:nsid w:val="72109F8D"/>
    <w:multiLevelType w:val="singleLevel"/>
    <w:tmpl w:val="72109F8D"/>
    <w:lvl w:ilvl="0" w:tentative="0">
      <w:start w:val="7"/>
      <w:numFmt w:val="chineseCounting"/>
      <w:suff w:val="nothing"/>
      <w:lvlText w:val="%1、"/>
      <w:lvlJc w:val="left"/>
      <w:rPr>
        <w:rFonts w:hint="eastAsia"/>
      </w:r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NWYyY2FiZWY3ZDE5ZGYxMTdiMDlkNzIwNzU1ZjAifQ=="/>
  </w:docVars>
  <w:rsids>
    <w:rsidRoot w:val="3DC164A8"/>
    <w:rsid w:val="01FD40C9"/>
    <w:rsid w:val="046C0F90"/>
    <w:rsid w:val="08251E68"/>
    <w:rsid w:val="0C7A6985"/>
    <w:rsid w:val="0D3C11C1"/>
    <w:rsid w:val="0DD50940"/>
    <w:rsid w:val="13A26199"/>
    <w:rsid w:val="156A4A50"/>
    <w:rsid w:val="19075EB9"/>
    <w:rsid w:val="19C92110"/>
    <w:rsid w:val="1ADB2048"/>
    <w:rsid w:val="1AF90C97"/>
    <w:rsid w:val="23EA4B6B"/>
    <w:rsid w:val="243415F0"/>
    <w:rsid w:val="24AE2C5C"/>
    <w:rsid w:val="24AE408D"/>
    <w:rsid w:val="24F50FAE"/>
    <w:rsid w:val="265A42DA"/>
    <w:rsid w:val="30F37B0F"/>
    <w:rsid w:val="3C081DDA"/>
    <w:rsid w:val="3DC164A8"/>
    <w:rsid w:val="42A60BF2"/>
    <w:rsid w:val="4CA6626F"/>
    <w:rsid w:val="4E6232C5"/>
    <w:rsid w:val="529E713B"/>
    <w:rsid w:val="530A3D91"/>
    <w:rsid w:val="5DD85C47"/>
    <w:rsid w:val="5F1E2041"/>
    <w:rsid w:val="5F4A66DE"/>
    <w:rsid w:val="5F5D3B84"/>
    <w:rsid w:val="626E2BAC"/>
    <w:rsid w:val="627D7290"/>
    <w:rsid w:val="72941C5D"/>
    <w:rsid w:val="7593776D"/>
    <w:rsid w:val="789B16B7"/>
    <w:rsid w:val="79C1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Chars="200"/>
    </w:pPr>
    <w:rPr>
      <w:rFonts w:ascii="Times New Roman" w:hAnsi="Times New Roman" w:eastAsia="宋体" w:cs="Times New Roman"/>
      <w:lang w:val="en-US" w:eastAsia="zh-CN" w:bidi="ar-SA"/>
    </w:rPr>
  </w:style>
  <w:style w:type="paragraph" w:customStyle="1" w:styleId="10">
    <w:name w:val="List Paragraph"/>
    <w:basedOn w:val="1"/>
    <w:qFormat/>
    <w:uiPriority w:val="34"/>
    <w:pPr>
      <w:ind w:firstLine="420" w:firstLineChars="200"/>
    </w:pPr>
  </w:style>
  <w:style w:type="paragraph" w:customStyle="1" w:styleId="11">
    <w:name w:val="Default"/>
    <w:unhideWhenUsed/>
    <w:qFormat/>
    <w:uiPriority w:val="99"/>
    <w:pPr>
      <w:widowControl w:val="0"/>
      <w:autoSpaceDE w:val="0"/>
      <w:autoSpaceDN w:val="0"/>
      <w:adjustRightInd w:val="0"/>
    </w:pPr>
    <w:rPr>
      <w:rFonts w:hint="eastAsia" w:ascii="仿宋" w:hAnsi="仿宋" w:eastAsia="仿宋"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2023-10-24T00:21:00Z</dcterms:created>
  <dc:creator>Administrator</dc:creator>
  <cp:lastModifiedBy>Administrator</cp:lastModifiedBy>
  <cp:lastPrinted>2023-10-26T03:44:00Z</cp:lastPrinted>
  <dcterms:modified xsi:type="dcterms:W3CDTF">2023-11-13T02:32:19Z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7E1C25DF8EE8485D9D0C7A6F0651373A</vt:lpwstr>
  </property>
</Properties>
</file>