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bookmarkStart w:id="119" w:name="_GoBack"/>
      <w:bookmarkEnd w:id="119"/>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lang w:val="en-US" w:eastAsia="zh-CN"/>
        </w:rPr>
        <w:t>中共</w:t>
      </w:r>
      <w:r>
        <w:rPr>
          <w:rFonts w:hint="eastAsia" w:ascii="黑体" w:hAnsi="ˎ̥" w:eastAsia="黑体"/>
          <w:color w:val="000000"/>
          <w:sz w:val="44"/>
          <w:szCs w:val="44"/>
          <w:highlight w:val="none"/>
          <w:lang w:eastAsia="zh-CN"/>
        </w:rPr>
        <w:t>海口市琼山区</w:t>
      </w:r>
      <w:r>
        <w:rPr>
          <w:rFonts w:hint="eastAsia" w:ascii="黑体" w:hAnsi="ˎ̥" w:eastAsia="黑体"/>
          <w:color w:val="000000"/>
          <w:sz w:val="44"/>
          <w:szCs w:val="44"/>
          <w:highlight w:val="none"/>
          <w:lang w:val="en-US" w:eastAsia="zh-CN"/>
        </w:rPr>
        <w:t>委机构编制委员会办公室（本级）</w:t>
      </w:r>
      <w:r>
        <w:rPr>
          <w:rFonts w:hint="eastAsia" w:ascii="黑体" w:hAnsi="ˎ̥" w:eastAsia="黑体"/>
          <w:color w:val="000000"/>
          <w:sz w:val="44"/>
          <w:szCs w:val="44"/>
          <w:highlight w:val="none"/>
        </w:rPr>
        <w:t>2022年度部门决算公开</w:t>
      </w:r>
      <w:r>
        <w:rPr>
          <w:rFonts w:ascii="黑体" w:hAnsi="ˎ̥" w:eastAsia="黑体"/>
          <w:color w:val="000000"/>
          <w:sz w:val="44"/>
          <w:szCs w:val="44"/>
          <w:highlight w:val="none"/>
        </w:rPr>
        <w:t>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年度部门决算公开表</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2022年度部门决算情况说明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8</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0</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1</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2</w:t>
      </w:r>
    </w:p>
    <w:p>
      <w:pPr>
        <w:jc w:val="center"/>
        <w:rPr>
          <w:rFonts w:hint="eastAsia" w:ascii="黑体" w:hAnsi="ˎ̥" w:eastAsia="黑体"/>
          <w:color w:val="000000"/>
          <w:sz w:val="32"/>
          <w:szCs w:val="32"/>
          <w:highlight w:val="none"/>
        </w:rPr>
      </w:pPr>
      <w:bookmarkStart w:id="2" w:name="_Toc32433_WPSOffice_Level1"/>
      <w:bookmarkStart w:id="3" w:name="_Toc10049_WPSOffice_Level1"/>
      <w:bookmarkStart w:id="4" w:name="_Toc22941_WPSOffice_Level1"/>
      <w:bookmarkStart w:id="5" w:name="_Toc10720_WPSOffice_Level1"/>
      <w:bookmarkStart w:id="6" w:name="_Toc23465_WPSOffice_Level1"/>
      <w:bookmarkStart w:id="7" w:name="_Toc1704_WPSOffice_Level1"/>
      <w:bookmarkStart w:id="8" w:name="_Toc24238_WPSOffice_Level2"/>
      <w:bookmarkStart w:id="9" w:name="_Toc20205_WPSOffice_Level2"/>
      <w:bookmarkStart w:id="10" w:name="_Toc20274_WPSOffice_Level2"/>
      <w:bookmarkStart w:id="11" w:name="_Toc32622_WPSOffice_Level2"/>
      <w:bookmarkStart w:id="12" w:name="_Toc26580_WPSOffice_Level2"/>
      <w:bookmarkStart w:id="13" w:name="_Toc14159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br w:type="page"/>
      </w: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p>
    <w:bookmarkEnd w:id="8"/>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单位职责</w:t>
      </w:r>
      <w:bookmarkEnd w:id="9"/>
      <w:bookmarkEnd w:id="10"/>
      <w:bookmarkEnd w:id="11"/>
      <w:bookmarkEnd w:id="12"/>
      <w:bookmarkEnd w:id="13"/>
    </w:p>
    <w:p>
      <w:pPr>
        <w:pStyle w:val="11"/>
        <w:ind w:firstLine="42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1、负责研究行政管理体制改革和机构改革的政策理论及其改革方向；拟定行政管理体制改革和机构改革以及机构编制管理的政策、规章、办法和实施细则。</w:t>
      </w:r>
    </w:p>
    <w:p>
      <w:pPr>
        <w:pStyle w:val="11"/>
        <w:ind w:firstLine="60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2、负责调查研究、审核论证本级党政群机关“三定”方案、机构编制增减调整意见、下一级机关行政管理体制改革方案，以及其它需报请机构编制委员会研究或审定的事项。</w:t>
      </w:r>
    </w:p>
    <w:p>
      <w:pPr>
        <w:pStyle w:val="11"/>
        <w:ind w:firstLine="60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3、负责按要求承办行政管理体制改革的组织实施工作，落实党委、政府、机构编制委员会和上级机构编制部门决定或批准的机构编制事宜。</w:t>
      </w:r>
    </w:p>
    <w:p>
      <w:pPr>
        <w:pStyle w:val="11"/>
        <w:ind w:firstLine="60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4、负责按规定管理党政群机关内设机构、人员编制结构、领导职数调整。</w:t>
      </w:r>
    </w:p>
    <w:p>
      <w:pPr>
        <w:pStyle w:val="11"/>
        <w:ind w:firstLine="60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5、负责事业单位登记管理工作。</w:t>
      </w:r>
    </w:p>
    <w:p>
      <w:pPr>
        <w:pStyle w:val="11"/>
        <w:ind w:firstLine="60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6、负责对党政群机关及其事业单位机构、人员编制实行《机构编制管理证》和控编进人制度，推进机构编制管理的规范化、科学化，并能够及时准确掌握机构、人员编制及其人员增减变化情况，为深化行政管理体制改革和干部人事制度改革以及领导决策提供情况和资料。</w:t>
      </w:r>
    </w:p>
    <w:p>
      <w:pPr>
        <w:pStyle w:val="11"/>
        <w:ind w:firstLine="420"/>
        <w:rPr>
          <w:rFonts w:hint="eastAsia" w:ascii="仿宋_GB2312" w:hAnsi="ˎ̥" w:eastAsia="仿宋_GB2312" w:cs="Times New Roman"/>
          <w:kern w:val="2"/>
          <w:sz w:val="32"/>
          <w:szCs w:val="32"/>
          <w:lang w:val="en-US" w:eastAsia="zh-CN" w:bidi="ar-SA"/>
        </w:rPr>
      </w:pPr>
      <w:r>
        <w:rPr>
          <w:rFonts w:hint="eastAsia" w:ascii="仿宋_GB2312" w:hAnsi="ˎ̥" w:eastAsia="仿宋_GB2312" w:cs="Times New Roman"/>
          <w:kern w:val="2"/>
          <w:sz w:val="32"/>
          <w:szCs w:val="32"/>
          <w:lang w:val="en-US" w:eastAsia="zh-CN" w:bidi="ar-SA"/>
        </w:rPr>
        <w:t>7、负责机构编制管理的监督检查、总结交流、统计报表等日常工作。</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bookmarkStart w:id="14" w:name="_Toc4833_WPSOffice_Level2"/>
      <w:bookmarkStart w:id="15" w:name="_Toc24474_WPSOffice_Level2"/>
      <w:bookmarkStart w:id="16" w:name="_Toc24059_WPSOffice_Level2"/>
      <w:bookmarkStart w:id="17" w:name="_Toc17796_WPSOffice_Level2"/>
      <w:bookmarkStart w:id="18" w:name="_Toc6572_WPSOffice_Level2"/>
      <w:r>
        <w:rPr>
          <w:rFonts w:hint="eastAsia" w:ascii="黑体" w:hAnsi="黑体" w:eastAsia="黑体" w:cs="黑体"/>
          <w:color w:val="000000"/>
          <w:sz w:val="32"/>
          <w:szCs w:val="32"/>
          <w:highlight w:val="none"/>
        </w:rPr>
        <w:t>二、机构设置</w:t>
      </w:r>
      <w:bookmarkEnd w:id="14"/>
      <w:bookmarkEnd w:id="15"/>
      <w:bookmarkEnd w:id="16"/>
      <w:bookmarkEnd w:id="17"/>
      <w:bookmarkEnd w:id="18"/>
    </w:p>
    <w:p>
      <w:pPr>
        <w:ind w:firstLine="640" w:firstLineChars="200"/>
        <w:jc w:val="left"/>
        <w:rPr>
          <w:rFonts w:ascii="仿宋_GB2312" w:hAnsi="黑体" w:eastAsia="仿宋_GB2312" w:cs="仿宋_GB2312"/>
          <w:sz w:val="32"/>
          <w:szCs w:val="32"/>
        </w:rPr>
      </w:pPr>
      <w:bookmarkStart w:id="19" w:name="_Toc30690_WPSOffice_Level1"/>
      <w:bookmarkStart w:id="20" w:name="_Toc6234_WPSOffice_Level1"/>
      <w:bookmarkStart w:id="21" w:name="_Toc28253_WPSOffice_Level1"/>
      <w:bookmarkStart w:id="22" w:name="_Toc8164_WPSOffice_Level1"/>
      <w:bookmarkStart w:id="23" w:name="_Toc15521_WPSOffice_Level1"/>
      <w:bookmarkStart w:id="24" w:name="_Toc30451_WPSOffice_Level1"/>
      <w:bookmarkStart w:id="25" w:name="_Toc6211_WPSOffice_Level2"/>
      <w:bookmarkStart w:id="26" w:name="_Toc4029_WPSOffice_Level2"/>
      <w:bookmarkStart w:id="27" w:name="_Toc32695_WPSOffice_Level2"/>
      <w:bookmarkStart w:id="28" w:name="_Toc32472_WPSOffice_Level2"/>
      <w:bookmarkStart w:id="29" w:name="_Toc8867_WPSOffice_Level2"/>
      <w:bookmarkStart w:id="30" w:name="_Toc11518_WPSOffice_Level2"/>
      <w:r>
        <w:rPr>
          <w:rFonts w:hint="eastAsia" w:ascii="仿宋_GB2312" w:hAnsi="ˎ̥" w:eastAsia="仿宋_GB2312"/>
          <w:sz w:val="32"/>
          <w:szCs w:val="32"/>
        </w:rPr>
        <w:t>纳入中共海口市琼山区委机构编制委员会办公室</w:t>
      </w:r>
      <w:r>
        <w:rPr>
          <w:rFonts w:hint="eastAsia" w:ascii="仿宋_GB2312" w:hAnsi="ˎ̥" w:eastAsia="仿宋_GB2312"/>
          <w:sz w:val="32"/>
          <w:szCs w:val="32"/>
          <w:lang w:val="en-US" w:eastAsia="zh-CN"/>
        </w:rPr>
        <w:t>单位</w:t>
      </w: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w:t>
      </w:r>
      <w:r>
        <w:rPr>
          <w:rFonts w:hint="eastAsia" w:ascii="仿宋_GB2312" w:hAnsi="ˎ̥" w:eastAsia="仿宋_GB2312"/>
          <w:sz w:val="32"/>
          <w:szCs w:val="32"/>
          <w:lang w:val="en-US" w:eastAsia="zh-CN"/>
        </w:rPr>
        <w:t>单位</w:t>
      </w:r>
      <w:r>
        <w:rPr>
          <w:rFonts w:hint="eastAsia" w:ascii="仿宋_GB2312" w:hAnsi="ˎ̥" w:eastAsia="仿宋_GB2312"/>
          <w:sz w:val="32"/>
          <w:szCs w:val="32"/>
        </w:rPr>
        <w:t>决算编制范围</w:t>
      </w:r>
      <w:r>
        <w:rPr>
          <w:rFonts w:hint="eastAsia" w:ascii="仿宋_GB2312" w:hAnsi="黑体" w:eastAsia="仿宋_GB2312" w:cs="仿宋_GB2312"/>
          <w:sz w:val="32"/>
          <w:szCs w:val="32"/>
        </w:rPr>
        <w:t>的二级预算单位包括：</w:t>
      </w:r>
    </w:p>
    <w:p>
      <w:pPr>
        <w:pStyle w:val="12"/>
        <w:numPr>
          <w:ilvl w:val="0"/>
          <w:numId w:val="3"/>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中共海口市琼山区委机构编制委员会办公室</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1160" w:leftChars="0" w:hanging="360" w:firstLineChars="0"/>
        <w:jc w:val="both"/>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海口市琼山区机构编制电子政务中心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不独立预算</w:t>
      </w:r>
      <w:r>
        <w:rPr>
          <w:rFonts w:hint="eastAsia" w:ascii="仿宋_GB2312" w:hAnsi="黑体"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2022年度部门决算公开报表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1" w:name="_Toc28622_WPSOffice_Level2"/>
      <w:bookmarkStart w:id="32" w:name="_Toc25608_WPSOffice_Level2"/>
      <w:bookmarkStart w:id="33" w:name="_Toc23139_WPSOffice_Level2"/>
      <w:bookmarkStart w:id="34" w:name="_Toc26621_WPSOffice_Level2"/>
      <w:bookmarkStart w:id="35" w:name="_Toc30334_WPSOffice_Level2"/>
      <w:bookmarkStart w:id="36" w:name="_Toc14349_WPSOffice_Level2"/>
      <w:r>
        <w:rPr>
          <w:rFonts w:hint="eastAsia" w:ascii="黑体" w:hAnsi="黑体" w:eastAsia="黑体" w:cs="黑体"/>
          <w:color w:val="000000"/>
          <w:sz w:val="32"/>
          <w:szCs w:val="32"/>
          <w:highlight w:val="none"/>
        </w:rPr>
        <w:t>二、收入决算公开表</w:t>
      </w:r>
      <w:bookmarkEnd w:id="31"/>
      <w:bookmarkEnd w:id="32"/>
      <w:bookmarkEnd w:id="33"/>
      <w:bookmarkEnd w:id="34"/>
      <w:bookmarkEnd w:id="35"/>
      <w:bookmarkEnd w:id="36"/>
      <w:bookmarkStart w:id="37" w:name="_Toc13854_WPSOffice_Level2"/>
      <w:bookmarkStart w:id="38" w:name="_Toc17626_WPSOffice_Level2"/>
      <w:bookmarkStart w:id="39" w:name="_Toc5489_WPSOffice_Level2"/>
      <w:bookmarkStart w:id="40" w:name="_Toc3262_WPSOffice_Level2"/>
      <w:bookmarkStart w:id="41" w:name="_Toc14658_WPSOffice_Level2"/>
      <w:bookmarkStart w:id="42" w:name="_Toc17858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7"/>
      <w:bookmarkEnd w:id="38"/>
      <w:bookmarkEnd w:id="39"/>
      <w:bookmarkEnd w:id="40"/>
      <w:bookmarkEnd w:id="41"/>
      <w:bookmarkEnd w:id="42"/>
      <w:bookmarkStart w:id="43" w:name="_Toc23591_WPSOffice_Level2"/>
      <w:bookmarkStart w:id="44" w:name="_Toc4265_WPSOffice_Level2"/>
      <w:bookmarkStart w:id="45" w:name="_Toc21415_WPSOffice_Level2"/>
      <w:bookmarkStart w:id="46" w:name="_Toc7988_WPSOffice_Level2"/>
      <w:bookmarkStart w:id="47" w:name="_Toc13701_WPSOffice_Level2"/>
      <w:bookmarkStart w:id="48" w:name="_Toc2349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9" w:name="_Toc25166_WPSOffice_Level2"/>
      <w:bookmarkStart w:id="50" w:name="_Toc22783_WPSOffice_Level2"/>
      <w:bookmarkStart w:id="51" w:name="_Toc7879_WPSOffice_Level2"/>
      <w:bookmarkStart w:id="52" w:name="_Toc23829_WPSOffice_Level2"/>
      <w:bookmarkStart w:id="53" w:name="_Toc2158_WPSOffice_Level2"/>
      <w:bookmarkStart w:id="54" w:name="_Toc13516_WPSOffice_Level2"/>
      <w:r>
        <w:rPr>
          <w:rFonts w:hint="eastAsia" w:ascii="黑体" w:hAnsi="黑体" w:eastAsia="黑体" w:cs="黑体"/>
          <w:color w:val="000000"/>
          <w:sz w:val="32"/>
          <w:szCs w:val="32"/>
          <w:highlight w:val="none"/>
        </w:rPr>
        <w:t>五、一般公共预算财政拨款收入支出决算</w:t>
      </w:r>
      <w:bookmarkEnd w:id="49"/>
      <w:bookmarkEnd w:id="50"/>
      <w:bookmarkEnd w:id="51"/>
      <w:bookmarkEnd w:id="52"/>
      <w:r>
        <w:rPr>
          <w:rFonts w:hint="eastAsia" w:ascii="黑体" w:hAnsi="黑体" w:eastAsia="黑体" w:cs="黑体"/>
          <w:color w:val="000000"/>
          <w:sz w:val="32"/>
          <w:szCs w:val="32"/>
          <w:highlight w:val="none"/>
        </w:rPr>
        <w:t>公开表</w:t>
      </w:r>
      <w:bookmarkEnd w:id="53"/>
      <w:bookmarkEnd w:id="54"/>
      <w:bookmarkStart w:id="55" w:name="_Toc2632_WPSOffice_Level2"/>
      <w:bookmarkStart w:id="56" w:name="_Toc25362_WPSOffice_Level2"/>
      <w:bookmarkStart w:id="57" w:name="_Toc5343_WPSOffice_Level2"/>
      <w:bookmarkStart w:id="58" w:name="_Toc17833_WPSOffice_Level2"/>
      <w:bookmarkStart w:id="59" w:name="_Toc17283_WPSOffice_Level2"/>
      <w:bookmarkStart w:id="60" w:name="_Toc837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5"/>
      <w:bookmarkEnd w:id="56"/>
      <w:bookmarkEnd w:id="57"/>
      <w:bookmarkEnd w:id="58"/>
      <w:bookmarkEnd w:id="59"/>
      <w:bookmarkEnd w:id="6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1" w:name="_Toc5594_WPSOffice_Level2"/>
      <w:bookmarkStart w:id="62" w:name="_Toc1533_WPSOffice_Level2"/>
      <w:bookmarkStart w:id="63" w:name="_Toc13345_WPSOffice_Level2"/>
      <w:bookmarkStart w:id="64" w:name="_Toc6020_WPSOffice_Level2"/>
      <w:bookmarkStart w:id="65" w:name="_Toc21310_WPSOffice_Level2"/>
      <w:bookmarkStart w:id="66" w:name="_Toc11799_WPSOffice_Level2"/>
      <w:r>
        <w:rPr>
          <w:rFonts w:hint="eastAsia" w:ascii="黑体" w:hAnsi="黑体" w:eastAsia="黑体" w:cs="黑体"/>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7" w:name="_Toc29886_WPSOffice_Level2"/>
      <w:bookmarkStart w:id="68" w:name="_Toc19961_WPSOffice_Level2"/>
      <w:bookmarkStart w:id="69" w:name="_Toc1820_WPSOffice_Level2"/>
      <w:bookmarkStart w:id="70" w:name="_Toc9377_WPSOffice_Level2"/>
      <w:r>
        <w:rPr>
          <w:rFonts w:hint="eastAsia" w:ascii="黑体" w:hAnsi="黑体" w:eastAsia="黑体" w:cs="黑体"/>
          <w:color w:val="000000"/>
          <w:sz w:val="32"/>
          <w:szCs w:val="32"/>
          <w:highlight w:val="none"/>
        </w:rPr>
        <w:t>九、财政拨款“三公”经费支出决算</w:t>
      </w:r>
      <w:bookmarkEnd w:id="67"/>
      <w:bookmarkEnd w:id="68"/>
      <w:bookmarkEnd w:id="69"/>
      <w:bookmarkEnd w:id="7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1" w:name="_Toc29683_WPSOffice_Level1"/>
      <w:bookmarkStart w:id="72" w:name="_Toc16686_WPSOffice_Level1"/>
      <w:bookmarkStart w:id="73" w:name="_Toc28629_WPSOffice_Level1"/>
      <w:bookmarkStart w:id="74" w:name="_Toc31264_WPSOffice_Level1"/>
      <w:bookmarkStart w:id="75" w:name="_Toc27590_WPSOffice_Level1"/>
      <w:bookmarkStart w:id="76" w:name="_Toc4402_WPSOffice_Level1"/>
      <w:r>
        <w:rPr>
          <w:rFonts w:hint="eastAsia" w:ascii="黑体" w:hAnsi="ˎ̥" w:eastAsia="黑体"/>
          <w:color w:val="000000"/>
          <w:sz w:val="32"/>
          <w:szCs w:val="32"/>
          <w:highlight w:val="none"/>
        </w:rPr>
        <w:t>第三部分  2022年度部门决算情况说明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一、收入支出总体情况说明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w:t>
      </w:r>
      <w:r>
        <w:rPr>
          <w:rFonts w:hint="eastAsia" w:ascii="仿宋_GB2312" w:hAnsi="ˎ̥" w:eastAsia="仿宋_GB2312"/>
          <w:color w:val="000000"/>
          <w:sz w:val="32"/>
          <w:szCs w:val="32"/>
          <w:highlight w:val="none"/>
        </w:rPr>
        <w:t>2022年度收入总计</w:t>
      </w:r>
      <w:r>
        <w:rPr>
          <w:rFonts w:hint="eastAsia" w:ascii="仿宋_GB2312" w:hAnsi="ˎ̥" w:eastAsia="仿宋_GB2312"/>
          <w:color w:val="000000"/>
          <w:sz w:val="32"/>
          <w:szCs w:val="32"/>
          <w:highlight w:val="none"/>
          <w:lang w:val="en-US" w:eastAsia="zh-CN"/>
        </w:rPr>
        <w:t>201.37</w:t>
      </w:r>
      <w:r>
        <w:rPr>
          <w:rFonts w:hint="eastAsia" w:ascii="仿宋_GB2312" w:hAnsi="ˎ̥" w:eastAsia="仿宋_GB2312"/>
          <w:color w:val="000000"/>
          <w:sz w:val="32"/>
          <w:szCs w:val="32"/>
          <w:highlight w:val="none"/>
        </w:rPr>
        <w:t>万元，支出总计</w:t>
      </w:r>
      <w:r>
        <w:rPr>
          <w:rFonts w:hint="eastAsia" w:ascii="仿宋_GB2312" w:hAnsi="ˎ̥" w:eastAsia="仿宋_GB2312"/>
          <w:color w:val="000000"/>
          <w:sz w:val="32"/>
          <w:szCs w:val="32"/>
          <w:highlight w:val="none"/>
          <w:lang w:val="en-US" w:eastAsia="zh-CN"/>
        </w:rPr>
        <w:t>201.37</w:t>
      </w:r>
      <w:r>
        <w:rPr>
          <w:rFonts w:hint="eastAsia" w:ascii="仿宋_GB2312" w:hAnsi="ˎ̥" w:eastAsia="仿宋_GB2312"/>
          <w:color w:val="000000"/>
          <w:sz w:val="32"/>
          <w:szCs w:val="32"/>
          <w:highlight w:val="none"/>
        </w:rPr>
        <w:t>万元，与2021年度相比，收入、支出总计各增加</w:t>
      </w:r>
      <w:r>
        <w:rPr>
          <w:rFonts w:hint="eastAsia" w:ascii="仿宋_GB2312" w:hAnsi="ˎ̥" w:eastAsia="仿宋_GB2312"/>
          <w:color w:val="000000"/>
          <w:sz w:val="32"/>
          <w:szCs w:val="32"/>
          <w:highlight w:val="none"/>
          <w:lang w:val="en-US" w:eastAsia="zh-CN"/>
        </w:rPr>
        <w:t>22.12</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12.3</w:t>
      </w:r>
      <w:r>
        <w:rPr>
          <w:rFonts w:hint="eastAsia" w:ascii="仿宋_GB2312" w:hAnsi="ˎ̥" w:eastAsia="仿宋_GB2312"/>
          <w:color w:val="000000"/>
          <w:sz w:val="32"/>
          <w:szCs w:val="32"/>
          <w:highlight w:val="none"/>
        </w:rPr>
        <w:t>%。主要原因：</w:t>
      </w:r>
      <w:r>
        <w:rPr>
          <w:rFonts w:hint="eastAsia" w:ascii="仿宋_GB2312" w:hAnsi="ˎ̥" w:eastAsia="仿宋_GB2312"/>
          <w:color w:val="000000"/>
          <w:sz w:val="32"/>
          <w:szCs w:val="32"/>
          <w:highlight w:val="none"/>
          <w:lang w:val="en-US" w:eastAsia="zh-CN"/>
        </w:rPr>
        <w:t>工资增加</w:t>
      </w:r>
      <w:r>
        <w:rPr>
          <w:rFonts w:hint="eastAsia" w:ascii="仿宋_GB2312" w:hAnsi="ˎ̥" w:eastAsia="仿宋_GB2312"/>
          <w:color w:val="000000"/>
          <w:sz w:val="32"/>
          <w:szCs w:val="32"/>
          <w:highlight w:val="none"/>
        </w:rPr>
        <w:t>。使用非财政拨款结余</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w:t>
      </w:r>
      <w:r>
        <w:rPr>
          <w:rFonts w:hint="eastAsia" w:ascii="仿宋_GB2312" w:hAnsi="ˎ̥" w:eastAsia="仿宋_GB2312"/>
          <w:sz w:val="32"/>
          <w:szCs w:val="32"/>
          <w:lang w:eastAsia="zh-CN"/>
        </w:rPr>
        <w:t>无变化</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本年度</w:t>
      </w:r>
      <w:r>
        <w:rPr>
          <w:rFonts w:hint="eastAsia" w:ascii="仿宋_GB2312" w:hAnsi="ˎ̥" w:eastAsia="仿宋_GB2312"/>
          <w:sz w:val="32"/>
          <w:szCs w:val="32"/>
          <w:lang w:eastAsia="zh-CN"/>
        </w:rPr>
        <w:t>无此事项</w:t>
      </w:r>
      <w:r>
        <w:rPr>
          <w:rFonts w:hint="eastAsia" w:ascii="仿宋_GB2312" w:hAnsi="ˎ̥" w:eastAsia="仿宋_GB2312"/>
          <w:sz w:val="32"/>
          <w:szCs w:val="32"/>
        </w:rPr>
        <w:t>。</w:t>
      </w:r>
      <w:r>
        <w:rPr>
          <w:rFonts w:hint="eastAsia" w:ascii="仿宋_GB2312" w:hAnsi="ˎ̥" w:eastAsia="仿宋_GB2312"/>
          <w:color w:val="000000"/>
          <w:sz w:val="32"/>
          <w:szCs w:val="32"/>
          <w:highlight w:val="none"/>
        </w:rPr>
        <w:t>年初结转结余</w:t>
      </w:r>
      <w:r>
        <w:rPr>
          <w:rFonts w:hint="eastAsia" w:ascii="仿宋_GB2312" w:hAnsi="ˎ̥" w:eastAsia="仿宋_GB2312"/>
          <w:color w:val="000000"/>
          <w:sz w:val="32"/>
          <w:szCs w:val="32"/>
          <w:highlight w:val="none"/>
          <w:lang w:val="en-US" w:eastAsia="zh-CN"/>
        </w:rPr>
        <w:t>0.26</w:t>
      </w:r>
      <w:r>
        <w:rPr>
          <w:rFonts w:hint="eastAsia" w:ascii="仿宋_GB2312" w:hAnsi="ˎ̥" w:eastAsia="仿宋_GB2312"/>
          <w:color w:val="000000"/>
          <w:sz w:val="32"/>
          <w:szCs w:val="32"/>
          <w:highlight w:val="none"/>
        </w:rPr>
        <w:t>万元，</w:t>
      </w:r>
      <w:r>
        <w:rPr>
          <w:rFonts w:hint="eastAsia" w:ascii="仿宋_GB2312" w:hAnsi="ˎ̥" w:eastAsia="仿宋_GB2312"/>
          <w:sz w:val="32"/>
          <w:szCs w:val="32"/>
        </w:rPr>
        <w:t>主要是</w:t>
      </w:r>
      <w:r>
        <w:rPr>
          <w:rFonts w:hint="eastAsia" w:ascii="仿宋_GB2312" w:hAnsi="ˎ̥" w:eastAsia="仿宋_GB2312"/>
          <w:sz w:val="32"/>
          <w:szCs w:val="32"/>
          <w:lang w:val="en-US" w:eastAsia="zh-CN"/>
        </w:rPr>
        <w:t>账户中留存的手续费和利息</w:t>
      </w:r>
      <w:r>
        <w:rPr>
          <w:rFonts w:hint="eastAsia" w:ascii="仿宋_GB2312" w:hAnsi="ˎ̥" w:eastAsia="仿宋_GB2312"/>
          <w:sz w:val="32"/>
          <w:szCs w:val="32"/>
        </w:rPr>
        <w:t>，</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1.29</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83.2</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lang w:eastAsia="zh-CN"/>
        </w:rPr>
        <w:t>账户利息</w:t>
      </w:r>
      <w:r>
        <w:rPr>
          <w:rFonts w:hint="eastAsia" w:ascii="仿宋_GB2312" w:hAnsi="ˎ̥" w:eastAsia="仿宋_GB2312"/>
          <w:sz w:val="32"/>
          <w:szCs w:val="32"/>
          <w:lang w:val="en-US" w:eastAsia="zh-CN"/>
        </w:rPr>
        <w:t>减少</w:t>
      </w:r>
      <w:r>
        <w:rPr>
          <w:rFonts w:hint="eastAsia" w:ascii="仿宋_GB2312" w:hAnsi="ˎ̥" w:eastAsia="仿宋_GB2312"/>
          <w:color w:val="000000"/>
          <w:sz w:val="32"/>
          <w:szCs w:val="32"/>
          <w:highlight w:val="none"/>
        </w:rPr>
        <w:t>。结余分配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sz w:val="32"/>
          <w:szCs w:val="32"/>
        </w:rPr>
        <w:t>主要是</w:t>
      </w:r>
      <w:r>
        <w:rPr>
          <w:rFonts w:hint="eastAsia" w:ascii="仿宋_GB2312" w:hAnsi="ˎ̥" w:eastAsia="仿宋_GB2312"/>
          <w:sz w:val="32"/>
          <w:szCs w:val="32"/>
          <w:lang w:val="en-US" w:eastAsia="zh-CN"/>
        </w:rPr>
        <w:t>本年度</w:t>
      </w:r>
      <w:r>
        <w:rPr>
          <w:rFonts w:hint="eastAsia" w:ascii="仿宋_GB2312" w:hAnsi="ˎ̥" w:eastAsia="仿宋_GB2312"/>
          <w:sz w:val="32"/>
          <w:szCs w:val="32"/>
          <w:lang w:eastAsia="zh-CN"/>
        </w:rPr>
        <w:t>无此事项</w:t>
      </w:r>
      <w:r>
        <w:rPr>
          <w:rFonts w:hint="eastAsia" w:ascii="仿宋_GB2312" w:hAnsi="ˎ̥" w:eastAsia="仿宋_GB2312"/>
          <w:sz w:val="32"/>
          <w:szCs w:val="32"/>
        </w:rPr>
        <w:t>，较202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年度决算数</w:t>
      </w:r>
      <w:r>
        <w:rPr>
          <w:rFonts w:hint="eastAsia" w:ascii="仿宋_GB2312" w:hAnsi="ˎ̥" w:eastAsia="仿宋_GB2312"/>
          <w:sz w:val="32"/>
          <w:szCs w:val="32"/>
          <w:lang w:eastAsia="zh-CN"/>
        </w:rPr>
        <w:t>无变化</w:t>
      </w:r>
      <w:r>
        <w:rPr>
          <w:rFonts w:hint="eastAsia" w:ascii="仿宋_GB2312" w:hAnsi="ˎ̥" w:eastAsia="仿宋_GB2312"/>
          <w:sz w:val="32"/>
          <w:szCs w:val="32"/>
        </w:rPr>
        <w:t>，</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val="en-US" w:eastAsia="zh-CN"/>
        </w:rPr>
        <w:t>本年度</w:t>
      </w:r>
      <w:r>
        <w:rPr>
          <w:rFonts w:hint="eastAsia" w:ascii="仿宋_GB2312" w:hAnsi="ˎ̥" w:eastAsia="仿宋_GB2312"/>
          <w:sz w:val="32"/>
          <w:szCs w:val="32"/>
          <w:lang w:eastAsia="zh-CN"/>
        </w:rPr>
        <w:t>无此事项</w:t>
      </w:r>
      <w:r>
        <w:rPr>
          <w:rFonts w:hint="eastAsia" w:ascii="仿宋_GB2312" w:hAnsi="ˎ̥" w:eastAsia="仿宋_GB2312"/>
          <w:color w:val="000000"/>
          <w:sz w:val="32"/>
          <w:szCs w:val="32"/>
          <w:highlight w:val="none"/>
        </w:rPr>
        <w:t>。年末结转结余</w:t>
      </w:r>
      <w:r>
        <w:rPr>
          <w:rFonts w:hint="eastAsia" w:ascii="仿宋_GB2312" w:hAnsi="ˎ̥" w:eastAsia="仿宋_GB2312"/>
          <w:color w:val="000000"/>
          <w:sz w:val="32"/>
          <w:szCs w:val="32"/>
          <w:highlight w:val="none"/>
          <w:lang w:val="en-US" w:eastAsia="zh-CN"/>
        </w:rPr>
        <w:t>0.26</w:t>
      </w:r>
      <w:r>
        <w:rPr>
          <w:rFonts w:hint="eastAsia" w:ascii="仿宋_GB2312" w:hAnsi="ˎ̥" w:eastAsia="仿宋_GB2312"/>
          <w:color w:val="000000"/>
          <w:sz w:val="32"/>
          <w:szCs w:val="32"/>
          <w:highlight w:val="none"/>
        </w:rPr>
        <w:t>万元，主要是</w:t>
      </w:r>
      <w:r>
        <w:rPr>
          <w:rFonts w:hint="eastAsia" w:ascii="仿宋_GB2312" w:hAnsi="ˎ̥" w:eastAsia="仿宋_GB2312"/>
          <w:sz w:val="32"/>
          <w:szCs w:val="32"/>
          <w:lang w:val="en-US" w:eastAsia="zh-CN"/>
        </w:rPr>
        <w:t>账户中留存的手续费和利息</w:t>
      </w:r>
      <w:r>
        <w:rPr>
          <w:rFonts w:hint="eastAsia" w:ascii="仿宋_GB2312" w:hAnsi="ˎ̥" w:eastAsia="仿宋_GB2312"/>
          <w:sz w:val="32"/>
          <w:szCs w:val="32"/>
        </w:rPr>
        <w:t>，</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1.29</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83.2</w:t>
      </w:r>
      <w:r>
        <w:rPr>
          <w:rFonts w:hint="eastAsia" w:ascii="仿宋_GB2312" w:hAnsi="ˎ̥" w:eastAsia="仿宋_GB2312"/>
          <w:color w:val="000000"/>
          <w:sz w:val="32"/>
          <w:szCs w:val="32"/>
          <w:highlight w:val="none"/>
        </w:rPr>
        <w:t>%，主要原因是</w:t>
      </w:r>
      <w:r>
        <w:rPr>
          <w:rFonts w:hint="eastAsia" w:ascii="仿宋_GB2312" w:hAnsi="ˎ̥" w:eastAsia="仿宋_GB2312"/>
          <w:sz w:val="32"/>
          <w:szCs w:val="32"/>
          <w:lang w:eastAsia="zh-CN"/>
        </w:rPr>
        <w:t>账户利息</w:t>
      </w:r>
      <w:r>
        <w:rPr>
          <w:rFonts w:hint="eastAsia" w:ascii="仿宋_GB2312" w:hAnsi="ˎ̥" w:eastAsia="仿宋_GB2312"/>
          <w:sz w:val="32"/>
          <w:szCs w:val="32"/>
          <w:lang w:val="en-US"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w:t>
      </w: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万元，其中：财政拨款收入</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%；其他收入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万元，其中：基本支出</w:t>
      </w:r>
      <w:r>
        <w:rPr>
          <w:rFonts w:hint="eastAsia" w:ascii="仿宋_GB2312" w:hAnsi="ˎ̥" w:eastAsia="仿宋_GB2312"/>
          <w:color w:val="000000"/>
          <w:sz w:val="32"/>
          <w:szCs w:val="32"/>
          <w:highlight w:val="none"/>
          <w:lang w:val="en-US" w:eastAsia="zh-CN"/>
        </w:rPr>
        <w:t>186.55</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92.8</w:t>
      </w:r>
      <w:r>
        <w:rPr>
          <w:rFonts w:hint="eastAsia" w:ascii="仿宋_GB2312" w:hAnsi="ˎ̥" w:eastAsia="仿宋_GB2312"/>
          <w:color w:val="000000"/>
          <w:sz w:val="32"/>
          <w:szCs w:val="32"/>
          <w:highlight w:val="none"/>
        </w:rPr>
        <w:t>%；项目支出</w:t>
      </w:r>
      <w:r>
        <w:rPr>
          <w:rFonts w:hint="eastAsia" w:ascii="仿宋_GB2312" w:hAnsi="ˎ̥" w:eastAsia="仿宋_GB2312"/>
          <w:color w:val="000000"/>
          <w:sz w:val="32"/>
          <w:szCs w:val="32"/>
          <w:highlight w:val="none"/>
          <w:lang w:val="en-US" w:eastAsia="zh-CN"/>
        </w:rPr>
        <w:t>14.56</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7.2</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万元，支出</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万元。与2021年度相比，财政拨款收入、支出各增加</w:t>
      </w:r>
      <w:r>
        <w:rPr>
          <w:rFonts w:hint="eastAsia" w:ascii="仿宋_GB2312" w:hAnsi="ˎ̥" w:eastAsia="仿宋_GB2312"/>
          <w:color w:val="000000"/>
          <w:sz w:val="32"/>
          <w:szCs w:val="32"/>
          <w:highlight w:val="none"/>
          <w:lang w:val="en-US" w:eastAsia="zh-CN"/>
        </w:rPr>
        <w:t>23.34</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13.1</w:t>
      </w:r>
      <w:r>
        <w:rPr>
          <w:rFonts w:hint="eastAsia" w:ascii="仿宋_GB2312" w:hAnsi="ˎ̥" w:eastAsia="仿宋_GB2312"/>
          <w:color w:val="000000"/>
          <w:sz w:val="32"/>
          <w:szCs w:val="32"/>
          <w:highlight w:val="none"/>
        </w:rPr>
        <w:t>%。主要原因：</w:t>
      </w:r>
      <w:r>
        <w:rPr>
          <w:rFonts w:hint="eastAsia" w:ascii="仿宋_GB2312" w:hAnsi="ˎ̥" w:eastAsia="仿宋_GB2312"/>
          <w:color w:val="000000"/>
          <w:sz w:val="32"/>
          <w:szCs w:val="32"/>
          <w:highlight w:val="none"/>
          <w:lang w:val="en-US" w:eastAsia="zh-CN"/>
        </w:rPr>
        <w:t>工资增加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财政拨款年初结转结余</w:t>
      </w:r>
      <w:r>
        <w:rPr>
          <w:rFonts w:hint="eastAsia" w:ascii="仿宋_GB2312" w:hAnsi="ˎ̥" w:eastAsia="仿宋_GB2312"/>
          <w:color w:val="000000"/>
          <w:sz w:val="32"/>
          <w:szCs w:val="32"/>
          <w:highlight w:val="none"/>
          <w:lang w:val="en-US" w:eastAsia="zh-CN"/>
        </w:rPr>
        <w:t>0.24</w:t>
      </w:r>
      <w:r>
        <w:rPr>
          <w:rFonts w:hint="eastAsia" w:ascii="仿宋_GB2312" w:hAnsi="ˎ̥" w:eastAsia="仿宋_GB2312"/>
          <w:color w:val="000000"/>
          <w:sz w:val="32"/>
          <w:szCs w:val="32"/>
          <w:highlight w:val="none"/>
        </w:rPr>
        <w:t>万元，主要是</w:t>
      </w:r>
      <w:r>
        <w:rPr>
          <w:rFonts w:hint="eastAsia" w:ascii="仿宋_GB2312" w:hAnsi="ˎ̥" w:eastAsia="仿宋_GB2312"/>
          <w:color w:val="000000"/>
          <w:sz w:val="32"/>
          <w:szCs w:val="32"/>
          <w:lang w:val="en-US" w:eastAsia="zh-CN"/>
        </w:rPr>
        <w:t>账户中留存的手续费和利息</w:t>
      </w:r>
      <w:r>
        <w:rPr>
          <w:rFonts w:hint="eastAsia" w:ascii="仿宋_GB2312" w:hAnsi="ˎ̥" w:eastAsia="仿宋_GB2312"/>
          <w:color w:val="000000"/>
          <w:sz w:val="32"/>
          <w:szCs w:val="32"/>
        </w:rPr>
        <w:t>，</w:t>
      </w:r>
      <w:r>
        <w:rPr>
          <w:rFonts w:hint="eastAsia" w:ascii="仿宋_GB2312" w:hAnsi="ˎ̥" w:eastAsia="仿宋_GB2312"/>
          <w:color w:val="000000"/>
          <w:sz w:val="32"/>
          <w:szCs w:val="32"/>
          <w:highlight w:val="none"/>
        </w:rPr>
        <w:t>较2021年度决算数</w:t>
      </w:r>
      <w:r>
        <w:rPr>
          <w:rFonts w:hint="eastAsia" w:ascii="仿宋_GB2312" w:hAnsi="ˎ̥" w:eastAsia="仿宋_GB2312"/>
          <w:color w:val="000000"/>
          <w:sz w:val="32"/>
          <w:szCs w:val="32"/>
          <w:highlight w:val="none"/>
          <w:lang w:val="en-US" w:eastAsia="zh-CN"/>
        </w:rPr>
        <w:t>减少1.3万元，</w:t>
      </w:r>
      <w:r>
        <w:rPr>
          <w:rFonts w:hint="eastAsia" w:ascii="仿宋_GB2312" w:hAnsi="ˎ̥" w:eastAsia="仿宋_GB2312"/>
          <w:color w:val="000000"/>
          <w:sz w:val="32"/>
          <w:szCs w:val="32"/>
          <w:highlight w:val="none"/>
        </w:rPr>
        <w:t>下降</w:t>
      </w:r>
      <w:r>
        <w:rPr>
          <w:rFonts w:hint="eastAsia" w:ascii="仿宋_GB2312" w:hAnsi="ˎ̥" w:eastAsia="仿宋_GB2312"/>
          <w:color w:val="000000"/>
          <w:sz w:val="32"/>
          <w:szCs w:val="32"/>
          <w:highlight w:val="none"/>
          <w:lang w:val="en-US" w:eastAsia="zh-CN"/>
        </w:rPr>
        <w:t>84.4</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lang w:eastAsia="zh-CN"/>
        </w:rPr>
        <w:t>账户利息</w:t>
      </w:r>
      <w:r>
        <w:rPr>
          <w:rFonts w:hint="eastAsia" w:ascii="仿宋_GB2312" w:hAnsi="ˎ̥" w:eastAsia="仿宋_GB2312"/>
          <w:color w:val="000000"/>
          <w:sz w:val="32"/>
          <w:szCs w:val="32"/>
          <w:lang w:val="en-US"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auto"/>
          <w:sz w:val="32"/>
          <w:szCs w:val="32"/>
          <w:highlight w:val="none"/>
        </w:rPr>
      </w:pPr>
      <w:r>
        <w:rPr>
          <w:rFonts w:hint="eastAsia" w:ascii="仿宋_GB2312" w:hAnsi="ˎ̥" w:eastAsia="仿宋_GB2312"/>
          <w:color w:val="auto"/>
          <w:sz w:val="32"/>
          <w:szCs w:val="32"/>
          <w:highlight w:val="none"/>
        </w:rPr>
        <w:t>财政拨款年末结转结余</w:t>
      </w:r>
      <w:r>
        <w:rPr>
          <w:rFonts w:hint="eastAsia" w:ascii="仿宋_GB2312" w:hAnsi="ˎ̥" w:eastAsia="仿宋_GB2312"/>
          <w:color w:val="auto"/>
          <w:sz w:val="32"/>
          <w:szCs w:val="32"/>
          <w:highlight w:val="none"/>
          <w:lang w:val="en-US" w:eastAsia="zh-CN"/>
        </w:rPr>
        <w:t>0.24</w:t>
      </w:r>
      <w:r>
        <w:rPr>
          <w:rFonts w:hint="eastAsia" w:ascii="仿宋_GB2312" w:hAnsi="ˎ̥" w:eastAsia="仿宋_GB2312"/>
          <w:color w:val="auto"/>
          <w:sz w:val="32"/>
          <w:szCs w:val="32"/>
          <w:highlight w:val="none"/>
        </w:rPr>
        <w:t>万元，主要是</w:t>
      </w:r>
      <w:r>
        <w:rPr>
          <w:rFonts w:hint="eastAsia" w:ascii="仿宋_GB2312" w:hAnsi="ˎ̥" w:eastAsia="仿宋_GB2312"/>
          <w:color w:val="auto"/>
          <w:sz w:val="32"/>
          <w:szCs w:val="32"/>
          <w:lang w:val="en-US" w:eastAsia="zh-CN"/>
        </w:rPr>
        <w:t>账户中留存的手续费和利息</w:t>
      </w:r>
      <w:r>
        <w:rPr>
          <w:rFonts w:hint="eastAsia" w:ascii="仿宋_GB2312" w:hAnsi="ˎ̥" w:eastAsia="仿宋_GB2312"/>
          <w:color w:val="auto"/>
          <w:sz w:val="32"/>
          <w:szCs w:val="32"/>
        </w:rPr>
        <w:t>，</w:t>
      </w:r>
      <w:r>
        <w:rPr>
          <w:rFonts w:hint="eastAsia" w:ascii="仿宋_GB2312" w:hAnsi="ˎ̥" w:eastAsia="仿宋_GB2312"/>
          <w:color w:val="auto"/>
          <w:sz w:val="32"/>
          <w:szCs w:val="32"/>
          <w:highlight w:val="none"/>
        </w:rPr>
        <w:t>较2021年度年末</w:t>
      </w:r>
      <w:r>
        <w:rPr>
          <w:rFonts w:hint="eastAsia" w:ascii="仿宋_GB2312" w:hAnsi="ˎ̥" w:eastAsia="仿宋_GB2312" w:cs="Times New Roman"/>
          <w:color w:val="auto"/>
          <w:sz w:val="32"/>
          <w:szCs w:val="32"/>
          <w:highlight w:val="none"/>
        </w:rPr>
        <w:t>数</w:t>
      </w:r>
      <w:r>
        <w:rPr>
          <w:rFonts w:hint="eastAsia" w:ascii="仿宋_GB2312" w:hAnsi="ˎ̥" w:eastAsia="仿宋_GB2312"/>
          <w:color w:val="auto"/>
          <w:sz w:val="32"/>
          <w:szCs w:val="32"/>
          <w:highlight w:val="none"/>
          <w:lang w:val="en-US" w:eastAsia="zh-CN"/>
        </w:rPr>
        <w:t>减少1.3万元，</w:t>
      </w:r>
      <w:r>
        <w:rPr>
          <w:rFonts w:hint="eastAsia" w:ascii="仿宋_GB2312" w:hAnsi="ˎ̥" w:eastAsia="仿宋_GB2312"/>
          <w:color w:val="auto"/>
          <w:sz w:val="32"/>
          <w:szCs w:val="32"/>
          <w:highlight w:val="none"/>
        </w:rPr>
        <w:t>下降</w:t>
      </w:r>
      <w:r>
        <w:rPr>
          <w:rFonts w:hint="eastAsia" w:ascii="仿宋_GB2312" w:hAnsi="ˎ̥" w:eastAsia="仿宋_GB2312"/>
          <w:color w:val="auto"/>
          <w:sz w:val="32"/>
          <w:szCs w:val="32"/>
          <w:highlight w:val="none"/>
          <w:lang w:val="en-US" w:eastAsia="zh-CN"/>
        </w:rPr>
        <w:t>84.4</w:t>
      </w:r>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lang w:eastAsia="zh-CN"/>
        </w:rPr>
        <w:t>账户利息</w:t>
      </w:r>
      <w:r>
        <w:rPr>
          <w:rFonts w:hint="eastAsia" w:ascii="仿宋_GB2312" w:hAnsi="ˎ̥" w:eastAsia="仿宋_GB2312"/>
          <w:color w:val="auto"/>
          <w:sz w:val="32"/>
          <w:szCs w:val="32"/>
          <w:lang w:val="en-US" w:eastAsia="zh-CN"/>
        </w:rPr>
        <w:t>减少</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77" w:name="_Toc17398_WPSOffice_Level2"/>
      <w:bookmarkStart w:id="78" w:name="_Toc13694_WPSOffice_Level2"/>
      <w:bookmarkStart w:id="79" w:name="_Toc21737_WPSOffice_Level2"/>
      <w:bookmarkStart w:id="80" w:name="_Toc23005_WPSOffice_Level2"/>
      <w:bookmarkStart w:id="81" w:name="_Toc19665_WPSOffice_Level2"/>
      <w:bookmarkStart w:id="82" w:name="_Toc9989_WPSOffice_Level2"/>
      <w:r>
        <w:rPr>
          <w:rFonts w:hint="eastAsia" w:ascii="楷体" w:hAnsi="楷体" w:eastAsia="楷体" w:cs="楷体"/>
          <w:color w:val="000000"/>
          <w:sz w:val="32"/>
          <w:szCs w:val="32"/>
          <w:highlight w:val="none"/>
        </w:rPr>
        <w:t>（一）一般公共预算财政拨款支出决算总体情况</w:t>
      </w:r>
      <w:bookmarkEnd w:id="77"/>
      <w:bookmarkEnd w:id="78"/>
      <w:r>
        <w:rPr>
          <w:rFonts w:hint="eastAsia" w:ascii="楷体" w:hAnsi="楷体" w:eastAsia="楷体" w:cs="楷体"/>
          <w:color w:val="000000"/>
          <w:sz w:val="32"/>
          <w:szCs w:val="32"/>
          <w:highlight w:val="none"/>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%。与2021年度相比，一般公共预算财政拨款支出增加</w:t>
      </w:r>
      <w:r>
        <w:rPr>
          <w:rFonts w:hint="eastAsia" w:ascii="仿宋_GB2312" w:hAnsi="ˎ̥" w:eastAsia="仿宋_GB2312"/>
          <w:color w:val="000000"/>
          <w:sz w:val="32"/>
          <w:szCs w:val="32"/>
          <w:highlight w:val="none"/>
          <w:lang w:val="en-US" w:eastAsia="zh-CN"/>
        </w:rPr>
        <w:t>23.42</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13.2</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val="en-US" w:eastAsia="zh-CN"/>
        </w:rPr>
        <w:t>工资增加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3" w:name="_Toc2711_WPSOffice_Level2"/>
      <w:bookmarkStart w:id="84" w:name="_Toc18793_WPSOffice_Level2"/>
      <w:bookmarkStart w:id="85" w:name="_Toc19535_WPSOffice_Level2"/>
      <w:bookmarkStart w:id="86" w:name="_Toc19075_WPSOffice_Level2"/>
      <w:bookmarkStart w:id="87" w:name="_Toc23864_WPSOffice_Level2"/>
      <w:bookmarkStart w:id="88" w:name="_Toc27767_WPSOffice_Level2"/>
      <w:r>
        <w:rPr>
          <w:rFonts w:hint="eastAsia" w:ascii="楷体" w:hAnsi="楷体" w:eastAsia="楷体" w:cs="楷体"/>
          <w:color w:val="000000"/>
          <w:sz w:val="32"/>
          <w:szCs w:val="32"/>
          <w:highlight w:val="none"/>
        </w:rPr>
        <w:t>（二）一般公共预算财政拨款支出决算结构情况</w:t>
      </w:r>
      <w:bookmarkEnd w:id="83"/>
      <w:bookmarkEnd w:id="84"/>
      <w:r>
        <w:rPr>
          <w:rFonts w:hint="eastAsia" w:ascii="楷体" w:hAnsi="楷体" w:eastAsia="楷体" w:cs="楷体"/>
          <w:color w:val="000000"/>
          <w:sz w:val="32"/>
          <w:szCs w:val="32"/>
          <w:highlight w:val="none"/>
        </w:rPr>
        <w:t>。</w:t>
      </w:r>
      <w:bookmarkEnd w:id="85"/>
      <w:bookmarkEnd w:id="86"/>
      <w:bookmarkEnd w:id="87"/>
      <w:bookmarkEnd w:id="8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万元，主要用于以下方面：</w:t>
      </w:r>
      <w:r>
        <w:rPr>
          <w:rFonts w:hint="eastAsia" w:ascii="仿宋_GB2312" w:hAnsi="ˎ̥" w:eastAsia="仿宋_GB2312"/>
          <w:b/>
          <w:color w:val="000000"/>
          <w:sz w:val="32"/>
          <w:szCs w:val="32"/>
          <w:highlight w:val="none"/>
        </w:rPr>
        <w:t>一般公共服务（类）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152.26</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75.7</w:t>
      </w:r>
      <w:r>
        <w:rPr>
          <w:rFonts w:hint="eastAsia" w:ascii="仿宋_GB2312" w:hAnsi="ˎ̥" w:eastAsia="仿宋_GB2312"/>
          <w:color w:val="000000"/>
          <w:sz w:val="32"/>
          <w:szCs w:val="32"/>
          <w:highlight w:val="none"/>
        </w:rPr>
        <w:t>%；</w:t>
      </w:r>
      <w:r>
        <w:rPr>
          <w:rFonts w:hint="eastAsia" w:ascii="仿宋_GB2312" w:hAnsi="ˎ̥" w:eastAsia="仿宋_GB2312"/>
          <w:b/>
          <w:color w:val="000000"/>
          <w:sz w:val="32"/>
          <w:szCs w:val="32"/>
          <w:highlight w:val="none"/>
        </w:rPr>
        <w:t>社会保障和就业（类）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14.22</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7.1</w:t>
      </w:r>
      <w:r>
        <w:rPr>
          <w:rFonts w:hint="eastAsia" w:ascii="仿宋_GB2312" w:hAnsi="ˎ̥" w:eastAsia="仿宋_GB2312"/>
          <w:color w:val="000000"/>
          <w:sz w:val="32"/>
          <w:szCs w:val="32"/>
          <w:highlight w:val="none"/>
        </w:rPr>
        <w:t>%；</w:t>
      </w:r>
      <w:r>
        <w:rPr>
          <w:rFonts w:hint="eastAsia" w:ascii="仿宋_GB2312" w:hAnsi="ˎ̥" w:eastAsia="仿宋_GB2312" w:cs="Times New Roman"/>
          <w:b/>
          <w:bCs/>
          <w:sz w:val="32"/>
          <w:szCs w:val="32"/>
        </w:rPr>
        <w:t>卫生健康支出</w:t>
      </w:r>
      <w:r>
        <w:rPr>
          <w:rFonts w:hint="eastAsia" w:ascii="仿宋_GB2312" w:hAnsi="ˎ̥" w:eastAsia="仿宋_GB2312"/>
          <w:b/>
          <w:bCs/>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20.79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color w:val="000000"/>
          <w:sz w:val="32"/>
          <w:szCs w:val="32"/>
          <w:highlight w:val="none"/>
        </w:rPr>
        <w:t>占</w:t>
      </w:r>
      <w:r>
        <w:rPr>
          <w:rFonts w:hint="eastAsia" w:ascii="仿宋_GB2312" w:hAnsi="ˎ̥" w:eastAsia="仿宋_GB2312"/>
          <w:color w:val="000000"/>
          <w:sz w:val="32"/>
          <w:szCs w:val="32"/>
          <w:highlight w:val="none"/>
          <w:lang w:val="en-US" w:eastAsia="zh-CN"/>
        </w:rPr>
        <w:t>10.3</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b/>
          <w:bCs/>
          <w:color w:val="000000"/>
          <w:sz w:val="32"/>
          <w:szCs w:val="32"/>
          <w:highlight w:val="none"/>
        </w:rPr>
        <w:t>住房保障（类）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13.84</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6.9</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9" w:name="_Toc9502_WPSOffice_Level2"/>
      <w:bookmarkStart w:id="90" w:name="_Toc22318_WPSOffice_Level2"/>
      <w:bookmarkStart w:id="91" w:name="_Toc15415_WPSOffice_Level2"/>
      <w:bookmarkStart w:id="92" w:name="_Toc25136_WPSOffice_Level2"/>
      <w:bookmarkStart w:id="93" w:name="_Toc29364_WPSOffice_Level2"/>
      <w:bookmarkStart w:id="94" w:name="_Toc21701_WPSOffice_Level2"/>
      <w:r>
        <w:rPr>
          <w:rFonts w:hint="eastAsia" w:ascii="楷体" w:hAnsi="楷体" w:eastAsia="楷体" w:cs="楷体"/>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w:t>
      </w:r>
      <w:r>
        <w:rPr>
          <w:rFonts w:hint="eastAsia" w:ascii="仿宋_GB2312" w:hAnsi="ˎ̥" w:eastAsia="仿宋_GB2312"/>
          <w:color w:val="000000"/>
          <w:sz w:val="32"/>
          <w:szCs w:val="32"/>
          <w:highlight w:val="none"/>
          <w:lang w:val="en-US" w:eastAsia="zh-CN"/>
        </w:rPr>
        <w:t>197.07</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201.11</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102.1</w:t>
      </w:r>
      <w:r>
        <w:rPr>
          <w:rFonts w:hint="eastAsia" w:ascii="仿宋_GB2312" w:hAnsi="ˎ̥" w:eastAsia="仿宋_GB2312"/>
          <w:color w:val="000000"/>
          <w:sz w:val="32"/>
          <w:szCs w:val="32"/>
          <w:highlight w:val="none"/>
        </w:rPr>
        <w:t>%。其中：</w:t>
      </w:r>
    </w:p>
    <w:p>
      <w:pPr>
        <w:ind w:firstLine="643" w:firstLineChars="200"/>
        <w:rPr>
          <w:rFonts w:hint="eastAsia" w:ascii="仿宋_GB2312" w:hAnsi="ˎ̥" w:eastAsia="仿宋_GB2312"/>
          <w:sz w:val="32"/>
          <w:szCs w:val="32"/>
        </w:rPr>
      </w:pPr>
      <w:r>
        <w:rPr>
          <w:rFonts w:hint="eastAsia" w:ascii="仿宋_GB2312" w:hAnsi="ˎ̥" w:eastAsia="仿宋_GB2312" w:cs="Times New Roman"/>
          <w:b/>
          <w:sz w:val="32"/>
          <w:szCs w:val="32"/>
        </w:rPr>
        <w:t>1.一般公共服务支出（类）组织事务</w:t>
      </w:r>
      <w:r>
        <w:rPr>
          <w:rFonts w:hint="eastAsia" w:ascii="仿宋_GB2312" w:hAnsi="ˎ̥" w:eastAsia="仿宋_GB2312"/>
          <w:b/>
          <w:sz w:val="32"/>
          <w:szCs w:val="32"/>
        </w:rPr>
        <w:t>（款）行政运行（项）。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143.59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137.7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95.9</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w:t>
      </w:r>
      <w:r>
        <w:rPr>
          <w:rFonts w:hint="eastAsia" w:ascii="仿宋_GB2312" w:hAnsi="ˎ̥" w:eastAsia="仿宋_GB2312"/>
          <w:sz w:val="32"/>
          <w:szCs w:val="32"/>
          <w:lang w:eastAsia="zh-CN"/>
        </w:rPr>
        <w:t>严格支出控制</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cs="Times New Roman"/>
          <w:b/>
          <w:sz w:val="32"/>
          <w:szCs w:val="32"/>
          <w:lang w:val="en-US" w:eastAsia="zh-CN"/>
        </w:rPr>
        <w:t>2</w:t>
      </w:r>
      <w:r>
        <w:rPr>
          <w:rFonts w:hint="eastAsia" w:ascii="仿宋_GB2312" w:hAnsi="ˎ̥" w:eastAsia="仿宋_GB2312" w:cs="Times New Roman"/>
          <w:b/>
          <w:sz w:val="32"/>
          <w:szCs w:val="32"/>
        </w:rPr>
        <w:t>.一般公共服务支出（类）组织事务</w:t>
      </w:r>
      <w:r>
        <w:rPr>
          <w:rFonts w:hint="eastAsia" w:ascii="仿宋_GB2312" w:hAnsi="ˎ̥" w:eastAsia="仿宋_GB2312"/>
          <w:b/>
          <w:sz w:val="32"/>
          <w:szCs w:val="32"/>
        </w:rPr>
        <w:t>（款）一般行政管理事务（项）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14.56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145.6</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是年中追加预算项目</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cs="Times New Roman"/>
          <w:b/>
          <w:sz w:val="32"/>
          <w:szCs w:val="32"/>
          <w:lang w:val="en-US" w:eastAsia="zh-CN"/>
        </w:rPr>
        <w:t>3</w:t>
      </w:r>
      <w:r>
        <w:rPr>
          <w:rFonts w:hint="eastAsia" w:ascii="仿宋_GB2312" w:hAnsi="ˎ̥" w:eastAsia="仿宋_GB2312" w:cs="Times New Roman"/>
          <w:b/>
          <w:sz w:val="32"/>
          <w:szCs w:val="32"/>
        </w:rPr>
        <w:t>.</w:t>
      </w:r>
      <w:r>
        <w:rPr>
          <w:rFonts w:hint="eastAsia" w:ascii="仿宋_GB2312" w:hAnsi="ˎ̥" w:eastAsia="仿宋_GB2312" w:cs="Times New Roman"/>
          <w:b/>
          <w:sz w:val="32"/>
          <w:szCs w:val="32"/>
          <w:lang w:val="en-US" w:eastAsia="zh-CN"/>
        </w:rPr>
        <w:t>社会保障和就业支出</w:t>
      </w:r>
      <w:r>
        <w:rPr>
          <w:rFonts w:hint="eastAsia" w:ascii="仿宋_GB2312" w:hAnsi="ˎ̥" w:eastAsia="仿宋_GB2312" w:cs="Times New Roman"/>
          <w:b/>
          <w:sz w:val="32"/>
          <w:szCs w:val="32"/>
        </w:rPr>
        <w:t>（类）行政事业单位养老支出</w:t>
      </w:r>
      <w:r>
        <w:rPr>
          <w:rFonts w:hint="eastAsia" w:ascii="仿宋_GB2312" w:hAnsi="ˎ̥" w:eastAsia="仿宋_GB2312"/>
          <w:b/>
          <w:sz w:val="32"/>
          <w:szCs w:val="32"/>
        </w:rPr>
        <w:t>（款）机关事业单位基本养老保险缴费支出（项）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14.98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14.22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94.9</w:t>
      </w:r>
      <w:r>
        <w:rPr>
          <w:rFonts w:hint="eastAsia" w:ascii="仿宋_GB2312" w:hAnsi="ˎ̥" w:eastAsia="仿宋_GB2312"/>
          <w:sz w:val="32"/>
          <w:szCs w:val="32"/>
        </w:rPr>
        <w:t>%。决算数</w:t>
      </w:r>
      <w:r>
        <w:rPr>
          <w:rFonts w:hint="eastAsia" w:ascii="仿宋_GB2312" w:hAnsi="ˎ̥" w:eastAsia="仿宋_GB2312"/>
          <w:sz w:val="32"/>
          <w:szCs w:val="32"/>
          <w:lang w:eastAsia="zh-CN"/>
        </w:rPr>
        <w:t>小于</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是人员变动造成社保基数减少</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cs="Times New Roman"/>
          <w:b/>
          <w:sz w:val="32"/>
          <w:szCs w:val="32"/>
          <w:lang w:val="en-US" w:eastAsia="zh-CN"/>
        </w:rPr>
        <w:t>4.卫生健康支出</w:t>
      </w:r>
      <w:r>
        <w:rPr>
          <w:rFonts w:hint="eastAsia" w:ascii="仿宋_GB2312" w:hAnsi="ˎ̥" w:eastAsia="仿宋_GB2312" w:cs="Times New Roman"/>
          <w:b/>
          <w:sz w:val="32"/>
          <w:szCs w:val="32"/>
        </w:rPr>
        <w:t>（类）行政事业单位医疗</w:t>
      </w:r>
      <w:r>
        <w:rPr>
          <w:rFonts w:hint="eastAsia" w:ascii="仿宋_GB2312" w:hAnsi="ˎ̥" w:eastAsia="仿宋_GB2312"/>
          <w:b/>
          <w:sz w:val="32"/>
          <w:szCs w:val="32"/>
        </w:rPr>
        <w:t>（款）行政单位医疗（项）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7.96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85.4</w:t>
      </w:r>
      <w:r>
        <w:rPr>
          <w:rFonts w:hint="eastAsia" w:ascii="仿宋_GB2312" w:hAnsi="ˎ̥" w:eastAsia="仿宋_GB2312"/>
          <w:sz w:val="32"/>
          <w:szCs w:val="32"/>
        </w:rPr>
        <w:t>%。决算数</w:t>
      </w:r>
      <w:r>
        <w:rPr>
          <w:rFonts w:hint="eastAsia" w:ascii="仿宋_GB2312" w:hAnsi="ˎ̥" w:eastAsia="仿宋_GB2312"/>
          <w:sz w:val="32"/>
          <w:szCs w:val="32"/>
          <w:lang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是人员变动造成社保基数减少</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cs="Times New Roman"/>
          <w:b/>
          <w:sz w:val="32"/>
          <w:szCs w:val="32"/>
          <w:lang w:val="en-US" w:eastAsia="zh-CN"/>
        </w:rPr>
        <w:t>5.卫生健康支出</w:t>
      </w:r>
      <w:r>
        <w:rPr>
          <w:rFonts w:hint="eastAsia" w:ascii="仿宋_GB2312" w:hAnsi="ˎ̥" w:eastAsia="仿宋_GB2312" w:cs="Times New Roman"/>
          <w:b/>
          <w:sz w:val="32"/>
          <w:szCs w:val="32"/>
        </w:rPr>
        <w:t>（类）行政事业单位医疗</w:t>
      </w:r>
      <w:r>
        <w:rPr>
          <w:rFonts w:hint="eastAsia" w:ascii="仿宋_GB2312" w:hAnsi="ˎ̥" w:eastAsia="仿宋_GB2312"/>
          <w:b/>
          <w:sz w:val="32"/>
          <w:szCs w:val="32"/>
        </w:rPr>
        <w:t>（款）公务员医疗补助（项）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10.04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13.99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139.3</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是基础绩效奖列入公补基数</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cs="Times New Roman"/>
          <w:b/>
          <w:sz w:val="32"/>
          <w:szCs w:val="32"/>
          <w:lang w:val="en-US" w:eastAsia="zh-CN"/>
        </w:rPr>
        <w:t>6.住房保障支出</w:t>
      </w:r>
      <w:r>
        <w:rPr>
          <w:rFonts w:hint="eastAsia" w:ascii="仿宋_GB2312" w:hAnsi="ˎ̥" w:eastAsia="仿宋_GB2312" w:cs="Times New Roman"/>
          <w:b/>
          <w:sz w:val="32"/>
          <w:szCs w:val="32"/>
        </w:rPr>
        <w:t>（类）住房改革支出</w:t>
      </w:r>
      <w:r>
        <w:rPr>
          <w:rFonts w:hint="eastAsia" w:ascii="仿宋_GB2312" w:hAnsi="ˎ̥" w:eastAsia="仿宋_GB2312"/>
          <w:b/>
          <w:sz w:val="32"/>
          <w:szCs w:val="32"/>
        </w:rPr>
        <w:t>（款）住房公积金（项）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13.84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131.8</w:t>
      </w:r>
      <w:r>
        <w:rPr>
          <w:rFonts w:hint="eastAsia" w:ascii="仿宋_GB2312" w:hAnsi="ˎ̥" w:eastAsia="仿宋_GB2312"/>
          <w:sz w:val="32"/>
          <w:szCs w:val="32"/>
        </w:rPr>
        <w:t>%。决算数</w:t>
      </w:r>
      <w:r>
        <w:rPr>
          <w:rFonts w:hint="eastAsia" w:ascii="仿宋_GB2312" w:hAnsi="ˎ̥" w:eastAsia="仿宋_GB2312"/>
          <w:sz w:val="32"/>
          <w:szCs w:val="32"/>
          <w:lang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是基础绩效奖列入公积金基数</w:t>
      </w:r>
      <w:r>
        <w:rPr>
          <w:rFonts w:hint="eastAsia" w:ascii="仿宋_GB2312" w:hAnsi="ˎ̥"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186.55</w:t>
      </w:r>
      <w:r>
        <w:rPr>
          <w:rFonts w:hint="eastAsia" w:ascii="仿宋_GB2312" w:hAnsi="ˎ̥" w:eastAsia="仿宋_GB2312"/>
          <w:color w:val="000000"/>
          <w:sz w:val="32"/>
          <w:szCs w:val="32"/>
          <w:highlight w:val="none"/>
        </w:rPr>
        <w:t>万元，其中：人员经费</w:t>
      </w:r>
      <w:r>
        <w:rPr>
          <w:rFonts w:hint="eastAsia" w:ascii="仿宋_GB2312" w:hAnsi="ˎ̥" w:eastAsia="仿宋_GB2312"/>
          <w:color w:val="000000"/>
          <w:sz w:val="32"/>
          <w:szCs w:val="32"/>
          <w:highlight w:val="none"/>
          <w:lang w:val="en-US" w:eastAsia="zh-CN"/>
        </w:rPr>
        <w:t>169.42</w:t>
      </w:r>
      <w:r>
        <w:rPr>
          <w:rFonts w:hint="eastAsia" w:ascii="仿宋_GB2312" w:hAnsi="ˎ̥" w:eastAsia="仿宋_GB2312"/>
          <w:color w:val="000000"/>
          <w:sz w:val="32"/>
          <w:szCs w:val="32"/>
          <w:highlight w:val="none"/>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eastAsia" w:ascii="仿宋_GB2312" w:hAnsi="ˎ̥" w:eastAsia="仿宋_GB2312"/>
          <w:color w:val="000000"/>
          <w:sz w:val="32"/>
          <w:szCs w:val="32"/>
          <w:highlight w:val="none"/>
          <w:lang w:val="en-US" w:eastAsia="zh-CN"/>
        </w:rPr>
        <w:t>17.13</w:t>
      </w:r>
      <w:r>
        <w:rPr>
          <w:rFonts w:hint="eastAsia" w:ascii="仿宋_GB2312" w:hAnsi="ˎ̥" w:eastAsia="仿宋_GB2312"/>
          <w:color w:val="000000"/>
          <w:sz w:val="32"/>
          <w:szCs w:val="32"/>
          <w:highlight w:val="none"/>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w:t>
      </w:r>
      <w:r>
        <w:rPr>
          <w:rFonts w:hint="eastAsia" w:ascii="仿宋_GB2312" w:hAnsi="ˎ̥" w:eastAsia="仿宋_GB2312"/>
          <w:color w:val="000000"/>
          <w:sz w:val="32"/>
          <w:szCs w:val="32"/>
          <w:highlight w:val="none"/>
          <w:lang w:eastAsia="zh-CN"/>
        </w:rPr>
        <w:t>、经常性</w:t>
      </w:r>
      <w:r>
        <w:rPr>
          <w:rFonts w:hint="eastAsia" w:ascii="仿宋_GB2312" w:hAnsi="ˎ̥" w:eastAsia="仿宋_GB2312"/>
          <w:color w:val="000000"/>
          <w:sz w:val="32"/>
          <w:szCs w:val="32"/>
          <w:highlight w:val="none"/>
        </w:rPr>
        <w:t>赠予、</w:t>
      </w:r>
      <w:r>
        <w:rPr>
          <w:rFonts w:hint="eastAsia" w:ascii="仿宋_GB2312" w:hAnsi="ˎ̥" w:eastAsia="仿宋_GB2312"/>
          <w:color w:val="000000"/>
          <w:sz w:val="32"/>
          <w:szCs w:val="32"/>
          <w:highlight w:val="none"/>
          <w:lang w:eastAsia="zh-CN"/>
        </w:rPr>
        <w:t>资本性赠予</w:t>
      </w:r>
      <w:r>
        <w:rPr>
          <w:rFonts w:hint="eastAsia" w:ascii="仿宋_GB2312" w:hAnsi="ˎ̥" w:eastAsia="仿宋_GB2312"/>
          <w:color w:val="000000"/>
          <w:sz w:val="32"/>
          <w:szCs w:val="32"/>
          <w:highlight w:val="none"/>
        </w:rPr>
        <w:t>和其他支出。</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sz w:val="32"/>
          <w:szCs w:val="32"/>
        </w:rPr>
        <w:t>2022年度政府性基金预算财政拨款支出0万元，占本年支出合计的0%。与2021年度相比，政府性基金预算财政拨款支出持平，主要原因是2022年度无政府性基金预算财政拨款，也无支出。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tabs>
          <w:tab w:val="center" w:pos="4473"/>
        </w:tabs>
        <w:ind w:firstLine="640" w:firstLineChars="200"/>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因此项无支出，所以也无具体支出事项说明。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2022年度政府性基金预算财政拨款支出年初预算为0万元，支出决算为0万元，年初无此项预算。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sz w:val="32"/>
          <w:szCs w:val="32"/>
        </w:rPr>
        <w:t>因此项年初无预算，也无支出，所以也无具体预算和支出事项说明</w:t>
      </w:r>
      <w:r>
        <w:rPr>
          <w:rFonts w:hint="eastAsia" w:ascii="仿宋_GB2312" w:hAnsi="ˎ̥" w:eastAsia="仿宋_GB2312"/>
          <w:sz w:val="32"/>
          <w:szCs w:val="32"/>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2022年度国有资本经营预算财政拨款支出0万元，占本年支出合计的0%。与2021年度相比，国有资本经营预算财政拨款支出持平，主要原因是两年都无支出。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2022年度国有资本经营预算财政拨款支出0万元。</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因此项无支出，所以也无具体支出事项说明。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tabs>
          <w:tab w:val="center" w:pos="4473"/>
        </w:tabs>
        <w:ind w:firstLine="640" w:firstLineChars="200"/>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万元，完成年初预算的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因此项无支出，所以也无具体支出事项说明。</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3.5</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万元，完成预算的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2022年度财政拨款“三公”经费支出决算中，因公出国（境）费支出决算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%；公务用车购置及运行维护费支出决算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%；公务接待费支出决算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lang w:val="en-US" w:eastAsia="zh-CN"/>
        </w:rPr>
      </w:pPr>
      <w:r>
        <w:rPr>
          <w:rFonts w:hint="eastAsia" w:ascii="仿宋_GB2312" w:hAnsi="ˎ̥" w:eastAsia="仿宋_GB2312"/>
          <w:b/>
          <w:color w:val="000000"/>
          <w:sz w:val="32"/>
          <w:szCs w:val="32"/>
          <w:highlight w:val="none"/>
        </w:rPr>
        <w:t>1.因公出国（境）费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万元。全年安排因公出国（境）团组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个，因公出国（境）</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r>
        <w:rPr>
          <w:rFonts w:hint="eastAsia" w:ascii="仿宋_GB2312" w:hAnsi="ˎ̥" w:eastAsia="仿宋_GB2312"/>
          <w:color w:val="000000"/>
          <w:sz w:val="32"/>
          <w:szCs w:val="32"/>
          <w:highlight w:val="none"/>
          <w:lang w:val="en-US" w:eastAsia="zh-CN"/>
        </w:rPr>
        <w:t>开支内容为0元，主要原因是</w:t>
      </w:r>
      <w:r>
        <w:rPr>
          <w:rFonts w:hint="eastAsia" w:ascii="仿宋_GB2312" w:hAnsi="ˎ̥" w:eastAsia="仿宋_GB2312"/>
          <w:sz w:val="32"/>
          <w:szCs w:val="32"/>
        </w:rPr>
        <w:t>本年</w:t>
      </w:r>
      <w:r>
        <w:rPr>
          <w:rFonts w:hint="eastAsia" w:ascii="仿宋_GB2312" w:hAnsi="ˎ̥" w:eastAsia="仿宋_GB2312"/>
          <w:sz w:val="32"/>
          <w:szCs w:val="32"/>
          <w:lang w:val="en-US" w:eastAsia="zh-CN"/>
        </w:rPr>
        <w:t>度</w:t>
      </w:r>
      <w:r>
        <w:rPr>
          <w:rFonts w:hint="eastAsia" w:ascii="仿宋_GB2312" w:hAnsi="ˎ̥" w:eastAsia="仿宋_GB2312"/>
          <w:sz w:val="32"/>
          <w:szCs w:val="32"/>
        </w:rPr>
        <w:t>没有发生相关的收支决算</w:t>
      </w:r>
      <w:r>
        <w:rPr>
          <w:rFonts w:hint="eastAsia" w:ascii="仿宋_GB2312" w:hAnsi="ˎ̥" w:eastAsia="仿宋_GB2312"/>
          <w:sz w:val="32"/>
          <w:szCs w:val="32"/>
          <w:lang w:val="en-US" w:eastAsia="zh-CN"/>
        </w:rPr>
        <w:t>数据。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auto"/>
          <w:sz w:val="32"/>
          <w:szCs w:val="32"/>
          <w:highlight w:val="none"/>
        </w:rPr>
      </w:pPr>
      <w:r>
        <w:rPr>
          <w:rFonts w:hint="eastAsia" w:ascii="仿宋_GB2312" w:hAnsi="ˎ̥" w:eastAsia="仿宋_GB2312"/>
          <w:color w:val="auto"/>
          <w:sz w:val="32"/>
          <w:szCs w:val="32"/>
          <w:highlight w:val="none"/>
        </w:rPr>
        <w:t>因公出国（境）费支出决算</w:t>
      </w:r>
      <w:r>
        <w:rPr>
          <w:rFonts w:hint="eastAsia" w:ascii="仿宋_GB2312" w:hAnsi="ˎ̥" w:eastAsia="仿宋_GB2312"/>
          <w:color w:val="auto"/>
          <w:sz w:val="32"/>
          <w:szCs w:val="32"/>
          <w:highlight w:val="none"/>
          <w:lang w:val="en-US" w:eastAsia="zh-CN"/>
        </w:rPr>
        <w:t>与</w:t>
      </w:r>
      <w:r>
        <w:rPr>
          <w:rFonts w:hint="eastAsia" w:ascii="仿宋_GB2312" w:hAnsi="ˎ̥" w:eastAsia="仿宋_GB2312"/>
          <w:color w:val="auto"/>
          <w:sz w:val="32"/>
          <w:szCs w:val="32"/>
          <w:highlight w:val="none"/>
        </w:rPr>
        <w:t>预算数</w:t>
      </w:r>
      <w:r>
        <w:rPr>
          <w:rFonts w:hint="eastAsia" w:ascii="仿宋_GB2312" w:hAnsi="ˎ̥" w:eastAsia="仿宋_GB2312"/>
          <w:color w:val="auto"/>
          <w:sz w:val="32"/>
          <w:szCs w:val="32"/>
          <w:highlight w:val="none"/>
          <w:lang w:val="en-US" w:eastAsia="zh-CN"/>
        </w:rPr>
        <w:t>没有</w:t>
      </w:r>
      <w:r>
        <w:rPr>
          <w:rFonts w:hint="eastAsia" w:ascii="仿宋_GB2312" w:hAnsi="ˎ̥" w:eastAsia="仿宋_GB2312"/>
          <w:color w:val="auto"/>
          <w:sz w:val="32"/>
          <w:szCs w:val="32"/>
          <w:highlight w:val="none"/>
        </w:rPr>
        <w:t>增减</w:t>
      </w:r>
      <w:r>
        <w:rPr>
          <w:rFonts w:hint="eastAsia" w:ascii="仿宋_GB2312" w:hAnsi="ˎ̥" w:eastAsia="仿宋_GB2312"/>
          <w:color w:val="auto"/>
          <w:sz w:val="32"/>
          <w:szCs w:val="32"/>
          <w:highlight w:val="none"/>
          <w:lang w:val="en-US" w:eastAsia="zh-CN"/>
        </w:rPr>
        <w:t>对比数据，</w:t>
      </w:r>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rPr>
        <w:t>本年</w:t>
      </w:r>
      <w:r>
        <w:rPr>
          <w:rFonts w:hint="eastAsia" w:ascii="仿宋_GB2312" w:hAnsi="ˎ̥" w:eastAsia="仿宋_GB2312"/>
          <w:color w:val="auto"/>
          <w:sz w:val="32"/>
          <w:szCs w:val="32"/>
          <w:lang w:val="en-US" w:eastAsia="zh-CN"/>
        </w:rPr>
        <w:t>度</w:t>
      </w:r>
      <w:r>
        <w:rPr>
          <w:rFonts w:hint="eastAsia" w:ascii="仿宋_GB2312" w:hAnsi="ˎ̥" w:eastAsia="仿宋_GB2312"/>
          <w:color w:val="auto"/>
          <w:sz w:val="32"/>
          <w:szCs w:val="32"/>
        </w:rPr>
        <w:t>没有</w:t>
      </w:r>
      <w:r>
        <w:rPr>
          <w:rFonts w:hint="eastAsia" w:ascii="仿宋_GB2312" w:hAnsi="ˎ̥" w:eastAsia="仿宋_GB2312"/>
          <w:color w:val="auto"/>
          <w:sz w:val="32"/>
          <w:szCs w:val="32"/>
          <w:lang w:val="en-US" w:eastAsia="zh-CN"/>
        </w:rPr>
        <w:t>预算安排，也没有</w:t>
      </w:r>
      <w:r>
        <w:rPr>
          <w:rFonts w:hint="eastAsia" w:ascii="仿宋_GB2312" w:hAnsi="ˎ̥" w:eastAsia="仿宋_GB2312"/>
          <w:color w:val="auto"/>
          <w:sz w:val="32"/>
          <w:szCs w:val="32"/>
        </w:rPr>
        <w:t>发生相关的支</w:t>
      </w:r>
      <w:r>
        <w:rPr>
          <w:rFonts w:hint="eastAsia" w:ascii="仿宋_GB2312" w:hAnsi="ˎ̥" w:eastAsia="仿宋_GB2312"/>
          <w:color w:val="auto"/>
          <w:sz w:val="32"/>
          <w:szCs w:val="32"/>
          <w:lang w:val="en-US" w:eastAsia="zh-CN"/>
        </w:rPr>
        <w:t>出</w:t>
      </w:r>
      <w:r>
        <w:rPr>
          <w:rFonts w:hint="eastAsia" w:ascii="仿宋_GB2312" w:hAnsi="ˎ̥" w:eastAsia="仿宋_GB2312"/>
          <w:color w:val="auto"/>
          <w:sz w:val="32"/>
          <w:szCs w:val="32"/>
        </w:rPr>
        <w:t>决算</w:t>
      </w:r>
      <w:r>
        <w:rPr>
          <w:rFonts w:hint="eastAsia" w:ascii="仿宋_GB2312" w:hAnsi="ˎ̥" w:eastAsia="仿宋_GB2312"/>
          <w:color w:val="auto"/>
          <w:sz w:val="32"/>
          <w:szCs w:val="32"/>
          <w:lang w:val="en-US" w:eastAsia="zh-CN"/>
        </w:rPr>
        <w:t>数据</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2.公务用车购置及运行维护费支出</w:t>
      </w:r>
      <w:r>
        <w:rPr>
          <w:rFonts w:hint="eastAsia" w:ascii="仿宋_GB2312" w:hAnsi="ˎ̥" w:eastAsia="仿宋_GB2312"/>
          <w:b/>
          <w:color w:val="000000"/>
          <w:sz w:val="32"/>
          <w:szCs w:val="32"/>
          <w:highlight w:val="none"/>
          <w:lang w:val="en-US" w:eastAsia="zh-CN"/>
        </w:rPr>
        <w:t>0</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公务用车购置支出</w:t>
      </w:r>
      <w:r>
        <w:rPr>
          <w:rFonts w:hint="eastAsia" w:ascii="仿宋_GB2312" w:hAnsi="ˎ̥" w:eastAsia="仿宋_GB2312"/>
          <w:b/>
          <w:color w:val="000000"/>
          <w:sz w:val="32"/>
          <w:szCs w:val="32"/>
          <w:highlight w:val="none"/>
          <w:lang w:val="en-US" w:eastAsia="zh-CN"/>
        </w:rPr>
        <w:t>0</w:t>
      </w:r>
      <w:r>
        <w:rPr>
          <w:rFonts w:hint="eastAsia" w:ascii="仿宋_GB2312" w:hAnsi="ˎ̥" w:eastAsia="仿宋_GB2312"/>
          <w:color w:val="000000"/>
          <w:sz w:val="32"/>
          <w:szCs w:val="32"/>
          <w:highlight w:val="none"/>
        </w:rPr>
        <w:t>万元，全年购置公务用车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辆，年末公务用车保有量</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公务用车运行维护费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万元，主要</w:t>
      </w:r>
      <w:r>
        <w:rPr>
          <w:rFonts w:hint="eastAsia" w:ascii="仿宋_GB2312" w:hAnsi="ˎ̥" w:eastAsia="仿宋_GB2312"/>
          <w:color w:val="000000"/>
          <w:sz w:val="32"/>
          <w:szCs w:val="32"/>
          <w:highlight w:val="none"/>
          <w:lang w:val="en-US" w:eastAsia="zh-CN"/>
        </w:rPr>
        <w:t>原因是单位公务车已损坏待报废</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auto"/>
          <w:sz w:val="32"/>
          <w:szCs w:val="32"/>
          <w:highlight w:val="none"/>
        </w:rPr>
      </w:pPr>
      <w:r>
        <w:rPr>
          <w:rFonts w:hint="eastAsia" w:ascii="仿宋_GB2312" w:hAnsi="ˎ̥" w:eastAsia="仿宋_GB2312"/>
          <w:bCs/>
          <w:color w:val="auto"/>
          <w:sz w:val="32"/>
          <w:szCs w:val="32"/>
          <w:highlight w:val="none"/>
        </w:rPr>
        <w:t>公务用车购置及运行费支出决算数</w:t>
      </w:r>
      <w:r>
        <w:rPr>
          <w:rFonts w:hint="eastAsia" w:ascii="仿宋_GB2312" w:hAnsi="ˎ̥" w:eastAsia="仿宋_GB2312"/>
          <w:color w:val="auto"/>
          <w:sz w:val="32"/>
          <w:szCs w:val="32"/>
          <w:highlight w:val="none"/>
        </w:rPr>
        <w:t>比预算数减少</w:t>
      </w:r>
      <w:r>
        <w:rPr>
          <w:rFonts w:hint="eastAsia" w:ascii="仿宋_GB2312" w:hAnsi="ˎ̥" w:eastAsia="仿宋_GB2312"/>
          <w:color w:val="auto"/>
          <w:sz w:val="32"/>
          <w:szCs w:val="32"/>
          <w:highlight w:val="none"/>
          <w:lang w:val="en-US" w:eastAsia="zh-CN"/>
        </w:rPr>
        <w:t>3.5</w:t>
      </w:r>
      <w:r>
        <w:rPr>
          <w:rFonts w:hint="eastAsia" w:ascii="仿宋_GB2312" w:hAnsi="ˎ̥" w:eastAsia="仿宋_GB2312"/>
          <w:color w:val="auto"/>
          <w:sz w:val="32"/>
          <w:szCs w:val="32"/>
          <w:highlight w:val="none"/>
        </w:rPr>
        <w:t>万元，下降</w:t>
      </w:r>
      <w:r>
        <w:rPr>
          <w:rFonts w:hint="eastAsia" w:ascii="仿宋_GB2312" w:hAnsi="ˎ̥" w:eastAsia="仿宋_GB2312"/>
          <w:color w:val="auto"/>
          <w:sz w:val="32"/>
          <w:szCs w:val="32"/>
          <w:highlight w:val="none"/>
          <w:lang w:val="en-US" w:eastAsia="zh-CN"/>
        </w:rPr>
        <w:t>100</w:t>
      </w:r>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highlight w:val="none"/>
          <w:lang w:val="en-US" w:eastAsia="zh-CN"/>
        </w:rPr>
        <w:t>单位公务车已损坏待报废</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3.公务接待费支出</w:t>
      </w:r>
      <w:r>
        <w:rPr>
          <w:rFonts w:hint="eastAsia" w:ascii="仿宋_GB2312" w:hAnsi="ˎ̥" w:eastAsia="仿宋_GB2312"/>
          <w:b/>
          <w:color w:val="000000"/>
          <w:sz w:val="32"/>
          <w:szCs w:val="32"/>
          <w:highlight w:val="none"/>
          <w:lang w:val="en-US" w:eastAsia="zh-CN"/>
        </w:rPr>
        <w:t>0</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国内接待费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万元，国内公务接待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rPr>
        <w:t>本年</w:t>
      </w:r>
      <w:r>
        <w:rPr>
          <w:rFonts w:hint="eastAsia" w:ascii="仿宋_GB2312" w:hAnsi="ˎ̥" w:eastAsia="仿宋_GB2312"/>
          <w:color w:val="000000"/>
          <w:sz w:val="32"/>
          <w:szCs w:val="32"/>
          <w:lang w:val="en-US" w:eastAsia="zh-CN"/>
        </w:rPr>
        <w:t>度</w:t>
      </w:r>
      <w:r>
        <w:rPr>
          <w:rFonts w:hint="eastAsia" w:ascii="仿宋_GB2312" w:hAnsi="ˎ̥" w:eastAsia="仿宋_GB2312"/>
          <w:color w:val="000000"/>
          <w:sz w:val="32"/>
          <w:szCs w:val="32"/>
        </w:rPr>
        <w:t>没有发生相关的收支决算</w:t>
      </w:r>
      <w:r>
        <w:rPr>
          <w:rFonts w:hint="eastAsia" w:ascii="仿宋_GB2312" w:hAnsi="ˎ̥" w:eastAsia="仿宋_GB2312"/>
          <w:color w:val="000000"/>
          <w:sz w:val="32"/>
          <w:szCs w:val="32"/>
          <w:lang w:val="en-US" w:eastAsia="zh-CN"/>
        </w:rPr>
        <w:t>数据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国（境）外接待费支出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万元，国（境）外公务接待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rPr>
        <w:t>本年</w:t>
      </w:r>
      <w:r>
        <w:rPr>
          <w:rFonts w:hint="eastAsia" w:ascii="仿宋_GB2312" w:hAnsi="ˎ̥" w:eastAsia="仿宋_GB2312"/>
          <w:color w:val="000000"/>
          <w:sz w:val="32"/>
          <w:szCs w:val="32"/>
          <w:lang w:val="en-US" w:eastAsia="zh-CN"/>
        </w:rPr>
        <w:t>度</w:t>
      </w:r>
      <w:r>
        <w:rPr>
          <w:rFonts w:hint="eastAsia" w:ascii="仿宋_GB2312" w:hAnsi="ˎ̥" w:eastAsia="仿宋_GB2312"/>
          <w:color w:val="000000"/>
          <w:sz w:val="32"/>
          <w:szCs w:val="32"/>
        </w:rPr>
        <w:t>没有发生相关的收支决算</w:t>
      </w:r>
      <w:r>
        <w:rPr>
          <w:rFonts w:hint="eastAsia" w:ascii="仿宋_GB2312" w:hAnsi="ˎ̥" w:eastAsia="仿宋_GB2312"/>
          <w:color w:val="000000"/>
          <w:sz w:val="32"/>
          <w:szCs w:val="32"/>
          <w:lang w:val="en-US" w:eastAsia="zh-CN"/>
        </w:rPr>
        <w:t>数据</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auto"/>
          <w:sz w:val="32"/>
          <w:szCs w:val="32"/>
          <w:highlight w:val="none"/>
        </w:rPr>
      </w:pPr>
      <w:r>
        <w:rPr>
          <w:rFonts w:hint="eastAsia" w:ascii="仿宋_GB2312" w:hAnsi="ˎ̥" w:eastAsia="仿宋_GB2312"/>
          <w:color w:val="000000"/>
          <w:sz w:val="32"/>
          <w:szCs w:val="32"/>
          <w:highlight w:val="none"/>
        </w:rPr>
        <w:t>公务接待费支出</w:t>
      </w:r>
      <w:r>
        <w:rPr>
          <w:rFonts w:hint="eastAsia" w:ascii="仿宋_GB2312" w:hAnsi="ˎ̥" w:eastAsia="仿宋_GB2312"/>
          <w:color w:val="auto"/>
          <w:sz w:val="32"/>
          <w:szCs w:val="32"/>
          <w:highlight w:val="none"/>
        </w:rPr>
        <w:t>决算</w:t>
      </w:r>
      <w:r>
        <w:rPr>
          <w:rFonts w:hint="eastAsia" w:ascii="仿宋_GB2312" w:hAnsi="ˎ̥" w:eastAsia="仿宋_GB2312"/>
          <w:color w:val="auto"/>
          <w:sz w:val="32"/>
          <w:szCs w:val="32"/>
          <w:highlight w:val="none"/>
          <w:lang w:val="en-US" w:eastAsia="zh-CN"/>
        </w:rPr>
        <w:t>与</w:t>
      </w:r>
      <w:r>
        <w:rPr>
          <w:rFonts w:hint="eastAsia" w:ascii="仿宋_GB2312" w:hAnsi="ˎ̥" w:eastAsia="仿宋_GB2312"/>
          <w:color w:val="auto"/>
          <w:sz w:val="32"/>
          <w:szCs w:val="32"/>
          <w:highlight w:val="none"/>
        </w:rPr>
        <w:t>预算数</w:t>
      </w:r>
      <w:r>
        <w:rPr>
          <w:rFonts w:hint="eastAsia" w:ascii="仿宋_GB2312" w:hAnsi="ˎ̥" w:eastAsia="仿宋_GB2312"/>
          <w:color w:val="auto"/>
          <w:sz w:val="32"/>
          <w:szCs w:val="32"/>
          <w:highlight w:val="none"/>
          <w:lang w:val="en-US" w:eastAsia="zh-CN"/>
        </w:rPr>
        <w:t>没有</w:t>
      </w:r>
      <w:r>
        <w:rPr>
          <w:rFonts w:hint="eastAsia" w:ascii="仿宋_GB2312" w:hAnsi="ˎ̥" w:eastAsia="仿宋_GB2312"/>
          <w:color w:val="auto"/>
          <w:sz w:val="32"/>
          <w:szCs w:val="32"/>
          <w:highlight w:val="none"/>
        </w:rPr>
        <w:t>增减</w:t>
      </w:r>
      <w:r>
        <w:rPr>
          <w:rFonts w:hint="eastAsia" w:ascii="仿宋_GB2312" w:hAnsi="ˎ̥" w:eastAsia="仿宋_GB2312"/>
          <w:color w:val="auto"/>
          <w:sz w:val="32"/>
          <w:szCs w:val="32"/>
          <w:highlight w:val="none"/>
          <w:lang w:val="en-US" w:eastAsia="zh-CN"/>
        </w:rPr>
        <w:t>对比数据，</w:t>
      </w:r>
      <w:r>
        <w:rPr>
          <w:rFonts w:hint="eastAsia" w:ascii="仿宋_GB2312" w:hAnsi="ˎ̥" w:eastAsia="仿宋_GB2312"/>
          <w:color w:val="auto"/>
          <w:sz w:val="32"/>
          <w:szCs w:val="32"/>
          <w:highlight w:val="none"/>
        </w:rPr>
        <w:t>主要原因是</w:t>
      </w:r>
      <w:r>
        <w:rPr>
          <w:rFonts w:hint="eastAsia" w:ascii="仿宋_GB2312" w:hAnsi="ˎ̥" w:eastAsia="仿宋_GB2312"/>
          <w:color w:val="auto"/>
          <w:sz w:val="32"/>
          <w:szCs w:val="32"/>
        </w:rPr>
        <w:t>本年</w:t>
      </w:r>
      <w:r>
        <w:rPr>
          <w:rFonts w:hint="eastAsia" w:ascii="仿宋_GB2312" w:hAnsi="ˎ̥" w:eastAsia="仿宋_GB2312"/>
          <w:color w:val="auto"/>
          <w:sz w:val="32"/>
          <w:szCs w:val="32"/>
          <w:lang w:val="en-US" w:eastAsia="zh-CN"/>
        </w:rPr>
        <w:t>度</w:t>
      </w:r>
      <w:r>
        <w:rPr>
          <w:rFonts w:hint="eastAsia" w:ascii="仿宋_GB2312" w:hAnsi="ˎ̥" w:eastAsia="仿宋_GB2312"/>
          <w:color w:val="auto"/>
          <w:sz w:val="32"/>
          <w:szCs w:val="32"/>
        </w:rPr>
        <w:t>没有</w:t>
      </w:r>
      <w:r>
        <w:rPr>
          <w:rFonts w:hint="eastAsia" w:ascii="仿宋_GB2312" w:hAnsi="ˎ̥" w:eastAsia="仿宋_GB2312"/>
          <w:color w:val="auto"/>
          <w:sz w:val="32"/>
          <w:szCs w:val="32"/>
          <w:lang w:val="en-US" w:eastAsia="zh-CN"/>
        </w:rPr>
        <w:t>预算安排，也没有</w:t>
      </w:r>
      <w:r>
        <w:rPr>
          <w:rFonts w:hint="eastAsia" w:ascii="仿宋_GB2312" w:hAnsi="ˎ̥" w:eastAsia="仿宋_GB2312"/>
          <w:color w:val="auto"/>
          <w:sz w:val="32"/>
          <w:szCs w:val="32"/>
        </w:rPr>
        <w:t>发生相关的支</w:t>
      </w:r>
      <w:r>
        <w:rPr>
          <w:rFonts w:hint="eastAsia" w:ascii="仿宋_GB2312" w:hAnsi="ˎ̥" w:eastAsia="仿宋_GB2312"/>
          <w:color w:val="auto"/>
          <w:sz w:val="32"/>
          <w:szCs w:val="32"/>
          <w:lang w:val="en-US" w:eastAsia="zh-CN"/>
        </w:rPr>
        <w:t>出</w:t>
      </w:r>
      <w:r>
        <w:rPr>
          <w:rFonts w:hint="eastAsia" w:ascii="仿宋_GB2312" w:hAnsi="ˎ̥" w:eastAsia="仿宋_GB2312"/>
          <w:color w:val="auto"/>
          <w:sz w:val="32"/>
          <w:szCs w:val="32"/>
        </w:rPr>
        <w:t>决算</w:t>
      </w:r>
      <w:r>
        <w:rPr>
          <w:rFonts w:hint="eastAsia" w:ascii="仿宋_GB2312" w:hAnsi="ˎ̥" w:eastAsia="仿宋_GB2312"/>
          <w:color w:val="auto"/>
          <w:sz w:val="32"/>
          <w:szCs w:val="32"/>
          <w:lang w:val="en-US" w:eastAsia="zh-CN"/>
        </w:rPr>
        <w:t>数据</w:t>
      </w:r>
      <w:r>
        <w:rPr>
          <w:rFonts w:hint="eastAsia" w:ascii="仿宋_GB2312" w:hAnsi="ˎ̥"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（一）</w:t>
      </w:r>
      <w:r>
        <w:rPr>
          <w:rFonts w:hint="eastAsia" w:ascii="楷体" w:hAnsi="楷体" w:eastAsia="楷体" w:cs="楷体"/>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Times New Roman" w:eastAsia="仿宋_GB2312" w:cs="Times New Roman"/>
          <w:color w:val="000000"/>
          <w:kern w:val="2"/>
          <w:sz w:val="32"/>
          <w:szCs w:val="32"/>
          <w:highlight w:val="none"/>
          <w:lang w:val="en-US" w:eastAsia="zh-CN" w:bidi="ar"/>
        </w:rPr>
      </w:pPr>
      <w:r>
        <w:rPr>
          <w:rFonts w:hint="eastAsia" w:ascii="仿宋_GB2312" w:eastAsia="仿宋_GB2312"/>
          <w:color w:val="000000"/>
          <w:sz w:val="32"/>
          <w:szCs w:val="32"/>
          <w:highlight w:val="none"/>
        </w:rPr>
        <w:t>根据财政预算</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管理要求，</w:t>
      </w:r>
      <w:r>
        <w:rPr>
          <w:rFonts w:hint="eastAsia" w:ascii="仿宋_GB2312" w:eastAsia="仿宋_GB2312"/>
          <w:color w:val="000000"/>
          <w:sz w:val="32"/>
          <w:szCs w:val="32"/>
          <w:highlight w:val="none"/>
          <w:lang w:eastAsia="zh-CN"/>
        </w:rPr>
        <w:t>可</w:t>
      </w:r>
      <w:r>
        <w:rPr>
          <w:rFonts w:hint="eastAsia" w:ascii="仿宋_GB2312" w:eastAsia="仿宋_GB2312"/>
          <w:color w:val="000000"/>
          <w:sz w:val="32"/>
          <w:szCs w:val="32"/>
          <w:highlight w:val="none"/>
        </w:rPr>
        <w:t>按照如下格式说明：根据预算管理要求，我部门（单位）组织对</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lang w:eastAsia="zh-CN"/>
        </w:rPr>
        <w:t>年度</w:t>
      </w:r>
      <w:r>
        <w:rPr>
          <w:rFonts w:hint="eastAsia" w:ascii="仿宋_GB2312" w:eastAsia="仿宋_GB2312"/>
          <w:color w:val="000000"/>
          <w:sz w:val="32"/>
          <w:szCs w:val="32"/>
          <w:highlight w:val="none"/>
        </w:rPr>
        <w:t>一般公共预算项目支出全面开展绩效自评。</w:t>
      </w:r>
      <w:r>
        <w:rPr>
          <w:rFonts w:hint="eastAsia" w:ascii="仿宋_GB2312" w:hAnsi="Times New Roman" w:eastAsia="仿宋_GB2312" w:cs="Times New Roman"/>
          <w:color w:val="000000"/>
          <w:kern w:val="2"/>
          <w:sz w:val="32"/>
          <w:szCs w:val="32"/>
          <w:highlight w:val="none"/>
          <w:lang w:val="en-US" w:eastAsia="zh-CN" w:bidi="ar"/>
        </w:rPr>
        <w:t>其中，自评项目4个，共涉及资金17.06万元，占一般公共预算项目支出总额的100%。组织对2022年度0个政府性基金预算项目开展绩效自评，共涉及资金0万元</w:t>
      </w:r>
      <w:r>
        <w:rPr>
          <w:rFonts w:hint="eastAsia" w:ascii="仿宋_GB2312" w:eastAsia="仿宋_GB2312" w:cs="Times New Roman"/>
          <w:color w:val="000000"/>
          <w:kern w:val="2"/>
          <w:sz w:val="32"/>
          <w:szCs w:val="32"/>
          <w:highlight w:val="none"/>
          <w:lang w:val="en-US" w:eastAsia="zh-CN" w:bidi="ar"/>
        </w:rPr>
        <w:t>，</w:t>
      </w:r>
      <w:r>
        <w:rPr>
          <w:rFonts w:hint="eastAsia" w:ascii="仿宋_GB2312" w:hAnsi="Times New Roman" w:eastAsia="仿宋_GB2312" w:cs="Times New Roman"/>
          <w:color w:val="000000"/>
          <w:kern w:val="2"/>
          <w:sz w:val="32"/>
          <w:szCs w:val="32"/>
          <w:highlight w:val="none"/>
          <w:lang w:val="en-US" w:eastAsia="zh-CN" w:bidi="ar"/>
        </w:rPr>
        <w:t>占政府性基金预算项目支出总额的0%。组织对2022年度0个国有资本经营预算项目开展绩效自评，共涉及资金0万元，占国有资本经营预算项目支出总额的0%。</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我单位未开展预算项目部门评价。</w:t>
      </w:r>
    </w:p>
    <w:p>
      <w:r>
        <w:rPr>
          <w:rFonts w:hint="eastAsia"/>
        </w:rPr>
        <w:t xml:space="preserve">     </w:t>
      </w:r>
      <w:r>
        <w:rPr>
          <w:rFonts w:hint="eastAsia" w:ascii="仿宋_GB2312" w:eastAsia="仿宋_GB2312"/>
          <w:color w:val="000000"/>
          <w:sz w:val="32"/>
          <w:szCs w:val="32"/>
        </w:rPr>
        <w:t>我单位未开展部门整体支出绩效评价。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Times New Roman" w:eastAsia="仿宋_GB2312" w:cs="Times New Roman"/>
          <w:color w:val="000000"/>
          <w:kern w:val="2"/>
          <w:sz w:val="32"/>
          <w:szCs w:val="32"/>
          <w:highlight w:val="none"/>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color w:val="000000"/>
          <w:sz w:val="32"/>
          <w:szCs w:val="32"/>
          <w:highlight w:val="none"/>
          <w:lang w:val="en-US" w:eastAsia="zh-CN"/>
        </w:rPr>
      </w:pPr>
      <w:r>
        <w:rPr>
          <w:rFonts w:hint="eastAsia" w:ascii="楷体" w:hAnsi="楷体" w:eastAsia="楷体" w:cs="楷体"/>
          <w:b w:val="0"/>
          <w:bCs/>
          <w:color w:val="000000"/>
          <w:sz w:val="32"/>
          <w:szCs w:val="32"/>
          <w:highlight w:val="none"/>
          <w:lang w:eastAsia="zh-CN"/>
        </w:rPr>
        <w:t>（二）</w:t>
      </w:r>
      <w:r>
        <w:rPr>
          <w:rFonts w:hint="eastAsia" w:ascii="楷体" w:hAnsi="楷体" w:eastAsia="楷体" w:cs="楷体"/>
          <w:b w:val="0"/>
          <w:bCs/>
          <w:color w:val="000000"/>
          <w:sz w:val="32"/>
          <w:szCs w:val="32"/>
          <w:highlight w:val="none"/>
        </w:rPr>
        <w:t>部门决算中项目绩效自评结果。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我单位在部门决算中反映“综合事务”等</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个项目绩效自评结果（包括项目绩效自评表和项目绩效自评报告）。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个项目绩效自评表：详见已公开《</w:t>
      </w:r>
      <w:r>
        <w:rPr>
          <w:rFonts w:hint="eastAsia" w:ascii="仿宋_GB2312" w:eastAsia="仿宋_GB2312"/>
          <w:color w:val="000000"/>
          <w:sz w:val="32"/>
          <w:szCs w:val="32"/>
          <w:lang w:val="en-US" w:eastAsia="zh-CN"/>
        </w:rPr>
        <w:t>中共</w:t>
      </w:r>
      <w:r>
        <w:rPr>
          <w:rFonts w:hint="eastAsia" w:ascii="仿宋_GB2312" w:eastAsia="仿宋_GB2312"/>
          <w:color w:val="000000"/>
          <w:sz w:val="32"/>
          <w:szCs w:val="32"/>
        </w:rPr>
        <w:t>海口市琼山区</w:t>
      </w:r>
      <w:r>
        <w:rPr>
          <w:rFonts w:hint="eastAsia" w:ascii="仿宋_GB2312" w:eastAsia="仿宋_GB2312"/>
          <w:color w:val="000000"/>
          <w:sz w:val="32"/>
          <w:szCs w:val="32"/>
          <w:lang w:val="en-US" w:eastAsia="zh-CN"/>
        </w:rPr>
        <w:t>委机构编制委员会办公室</w:t>
      </w:r>
      <w:r>
        <w:rPr>
          <w:rFonts w:hint="eastAsia" w:ascii="仿宋_GB2312" w:eastAsia="仿宋_GB2312"/>
          <w:color w:val="000000"/>
          <w:sz w:val="32"/>
          <w:szCs w:val="32"/>
        </w:rPr>
        <w:t>2022年度预算项目支出绩效自评表》。其中：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“综合事务”</w:t>
      </w:r>
      <w:r>
        <w:rPr>
          <w:rFonts w:hint="eastAsia" w:ascii="仿宋_GB2312" w:eastAsia="仿宋_GB2312"/>
          <w:color w:val="000000"/>
          <w:sz w:val="32"/>
          <w:szCs w:val="32"/>
          <w:highlight w:val="none"/>
          <w:lang w:eastAsia="zh-CN"/>
        </w:rPr>
        <w:t>项目绩效自评报告：</w:t>
      </w:r>
      <w:r>
        <w:rPr>
          <w:rFonts w:hint="eastAsia" w:ascii="仿宋_GB2312" w:eastAsia="仿宋_GB2312"/>
          <w:color w:val="000000"/>
          <w:sz w:val="32"/>
          <w:szCs w:val="32"/>
          <w:highlight w:val="none"/>
        </w:rPr>
        <w:t>根据年初设定的绩效目标，项目</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自评得分为</w:t>
      </w:r>
      <w:r>
        <w:rPr>
          <w:rFonts w:hint="eastAsia" w:ascii="仿宋_GB2312" w:eastAsia="仿宋_GB2312"/>
          <w:color w:val="000000"/>
          <w:sz w:val="32"/>
          <w:szCs w:val="32"/>
          <w:highlight w:val="none"/>
          <w:lang w:val="en-US" w:eastAsia="zh-CN"/>
        </w:rPr>
        <w:t>99.26</w:t>
      </w:r>
      <w:r>
        <w:rPr>
          <w:rFonts w:hint="eastAsia" w:ascii="仿宋_GB2312" w:eastAsia="仿宋_GB2312"/>
          <w:color w:val="000000"/>
          <w:sz w:val="32"/>
          <w:szCs w:val="32"/>
          <w:highlight w:val="none"/>
        </w:rPr>
        <w:t>分</w:t>
      </w:r>
      <w:r>
        <w:rPr>
          <w:rFonts w:hint="eastAsia" w:ascii="仿宋_GB2312" w:eastAsia="仿宋_GB2312"/>
          <w:color w:val="000000"/>
          <w:sz w:val="32"/>
          <w:szCs w:val="32"/>
          <w:highlight w:val="none"/>
          <w:lang w:eastAsia="zh-CN"/>
        </w:rPr>
        <w:t>。全年预算数为</w:t>
      </w:r>
      <w:r>
        <w:rPr>
          <w:rFonts w:hint="eastAsia" w:ascii="仿宋_GB2312" w:eastAsia="仿宋_GB2312"/>
          <w:color w:val="000000"/>
          <w:sz w:val="32"/>
          <w:szCs w:val="32"/>
          <w:highlight w:val="none"/>
          <w:lang w:val="en-US" w:eastAsia="zh-CN"/>
        </w:rPr>
        <w:t>10</w:t>
      </w:r>
      <w:r>
        <w:rPr>
          <w:rFonts w:hint="eastAsia" w:ascii="仿宋_GB2312" w:eastAsia="仿宋_GB2312"/>
          <w:color w:val="000000"/>
          <w:sz w:val="32"/>
          <w:szCs w:val="32"/>
          <w:highlight w:val="none"/>
          <w:lang w:eastAsia="zh-CN"/>
        </w:rPr>
        <w:t>万元，执行数为</w:t>
      </w:r>
      <w:r>
        <w:rPr>
          <w:rFonts w:hint="eastAsia" w:ascii="仿宋_GB2312" w:eastAsia="仿宋_GB2312"/>
          <w:color w:val="000000"/>
          <w:sz w:val="32"/>
          <w:szCs w:val="32"/>
          <w:highlight w:val="none"/>
          <w:lang w:val="en-US" w:eastAsia="zh-CN"/>
        </w:rPr>
        <w:t>9.26</w:t>
      </w:r>
      <w:r>
        <w:rPr>
          <w:rFonts w:hint="eastAsia" w:ascii="仿宋_GB2312" w:eastAsia="仿宋_GB2312"/>
          <w:color w:val="000000"/>
          <w:sz w:val="32"/>
          <w:szCs w:val="32"/>
          <w:highlight w:val="none"/>
          <w:lang w:eastAsia="zh-CN"/>
        </w:rPr>
        <w:t>万元，完成预算的</w:t>
      </w:r>
      <w:r>
        <w:rPr>
          <w:rFonts w:hint="eastAsia" w:ascii="仿宋_GB2312" w:eastAsia="仿宋_GB2312"/>
          <w:color w:val="000000"/>
          <w:sz w:val="32"/>
          <w:szCs w:val="32"/>
          <w:highlight w:val="none"/>
          <w:lang w:val="en-US" w:eastAsia="zh-CN"/>
        </w:rPr>
        <w:t>92.6%。项目绩效目标完成情况：一是效益指标实际完成值为优；二是满意度指标完成值为良。发现的主要问题及原因：无。下一步改进措施：无。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FF0000"/>
          <w:sz w:val="32"/>
          <w:szCs w:val="32"/>
          <w:highlight w:val="none"/>
        </w:rPr>
      </w:pPr>
      <w:r>
        <w:rPr>
          <w:rFonts w:hint="eastAsia" w:ascii="楷体" w:hAnsi="楷体" w:eastAsia="楷体" w:cs="楷体"/>
          <w:b w:val="0"/>
          <w:bCs/>
          <w:color w:val="000000"/>
          <w:sz w:val="32"/>
          <w:szCs w:val="32"/>
          <w:highlight w:val="none"/>
          <w:lang w:val="en-US" w:eastAsia="zh-CN"/>
        </w:rPr>
        <w:t>(三）</w:t>
      </w:r>
      <w:r>
        <w:rPr>
          <w:rFonts w:hint="eastAsia" w:ascii="楷体" w:hAnsi="楷体" w:eastAsia="楷体" w:cs="楷体"/>
          <w:b w:val="0"/>
          <w:bCs/>
          <w:color w:val="000000"/>
          <w:sz w:val="32"/>
          <w:szCs w:val="32"/>
          <w:highlight w:val="none"/>
          <w:lang w:eastAsia="zh-CN"/>
        </w:rPr>
        <w:t>财政评价结果。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val="en-US" w:eastAsia="zh-CN"/>
        </w:rPr>
      </w:pPr>
      <w:r>
        <w:rPr>
          <w:rFonts w:hint="eastAsia" w:ascii="楷体" w:hAnsi="楷体" w:eastAsia="楷体" w:cs="楷体"/>
          <w:b w:val="0"/>
          <w:bCs/>
          <w:color w:val="auto"/>
          <w:sz w:val="32"/>
          <w:szCs w:val="32"/>
          <w:highlight w:val="none"/>
          <w:lang w:val="en-US" w:eastAsia="zh-CN"/>
        </w:rPr>
        <w:t>无。</w:t>
      </w:r>
    </w:p>
    <w:p>
      <w:pPr>
        <w:autoSpaceDE w:val="0"/>
        <w:spacing w:line="560" w:lineRule="exact"/>
        <w:ind w:firstLine="640" w:firstLineChars="200"/>
        <w:rPr>
          <w:rFonts w:ascii="楷体" w:hAnsi="楷体" w:eastAsia="楷体"/>
          <w:bCs/>
          <w:color w:val="000000"/>
          <w:sz w:val="32"/>
          <w:szCs w:val="32"/>
        </w:rPr>
      </w:pPr>
      <w:r>
        <w:rPr>
          <w:rFonts w:hint="eastAsia" w:ascii="楷体" w:hAnsi="楷体" w:eastAsia="楷体"/>
          <w:bCs/>
          <w:color w:val="000000"/>
          <w:sz w:val="32"/>
          <w:szCs w:val="32"/>
        </w:rPr>
        <w:t>（四）财政评价结果。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auto"/>
          <w:sz w:val="32"/>
          <w:szCs w:val="32"/>
          <w:highlight w:val="none"/>
          <w:lang w:val="en-US" w:eastAsia="zh-CN"/>
        </w:rPr>
      </w:pPr>
      <w:r>
        <w:rPr>
          <w:rFonts w:hint="eastAsia" w:ascii="楷体" w:hAnsi="楷体" w:eastAsia="楷体"/>
          <w:bCs/>
          <w:color w:val="000000"/>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5" w:name="_Toc5978_WPSOffice_Level2"/>
      <w:bookmarkStart w:id="96" w:name="_Toc32639_WPSOffice_Level2"/>
      <w:bookmarkStart w:id="97" w:name="_Toc15565_WPSOffice_Level2"/>
      <w:bookmarkStart w:id="98" w:name="_Toc18325_WPSOffice_Level2"/>
      <w:bookmarkStart w:id="99" w:name="_Toc23598_WPSOffice_Level2"/>
      <w:bookmarkStart w:id="100" w:name="_Toc15262_WPSOffice_Level2"/>
      <w:r>
        <w:rPr>
          <w:rFonts w:hint="eastAsia" w:ascii="楷体" w:hAnsi="楷体" w:eastAsia="楷体" w:cs="楷体"/>
          <w:bCs/>
          <w:color w:val="000000"/>
          <w:sz w:val="32"/>
          <w:szCs w:val="32"/>
          <w:highlight w:val="none"/>
        </w:rPr>
        <w:t>（一）机关运行经费支出情况。</w:t>
      </w:r>
      <w:bookmarkEnd w:id="95"/>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中共</w:t>
      </w:r>
      <w:r>
        <w:rPr>
          <w:rFonts w:hint="eastAsia" w:ascii="仿宋_GB2312" w:hAnsi="ˎ̥" w:eastAsia="仿宋_GB2312"/>
          <w:color w:val="000000"/>
          <w:sz w:val="32"/>
          <w:szCs w:val="32"/>
          <w:highlight w:val="none"/>
          <w:lang w:val="en-US" w:eastAsia="zh-CN"/>
        </w:rPr>
        <w:t>海口市琼山区委机构编制委员会办公室</w:t>
      </w:r>
      <w:r>
        <w:rPr>
          <w:rFonts w:hint="eastAsia" w:ascii="仿宋_GB2312" w:hAnsi="ˎ̥" w:eastAsia="仿宋_GB2312"/>
          <w:color w:val="000000"/>
          <w:sz w:val="32"/>
          <w:szCs w:val="32"/>
          <w:highlight w:val="none"/>
        </w:rPr>
        <w:t>部门单位机关运行经费</w:t>
      </w:r>
      <w:r>
        <w:rPr>
          <w:rFonts w:hint="eastAsia" w:ascii="仿宋_GB2312" w:hAnsi="ˎ̥" w:eastAsia="仿宋_GB2312"/>
          <w:color w:val="000000"/>
          <w:sz w:val="32"/>
          <w:szCs w:val="32"/>
          <w:highlight w:val="none"/>
          <w:lang w:val="en-US" w:eastAsia="zh-CN"/>
        </w:rPr>
        <w:t>17.13</w:t>
      </w:r>
      <w:r>
        <w:rPr>
          <w:rFonts w:hint="eastAsia" w:ascii="仿宋_GB2312" w:hAnsi="ˎ̥" w:eastAsia="仿宋_GB2312"/>
          <w:color w:val="000000"/>
          <w:sz w:val="32"/>
          <w:szCs w:val="32"/>
          <w:highlight w:val="none"/>
        </w:rPr>
        <w:t>万元（为部门</w:t>
      </w:r>
      <w:r>
        <w:rPr>
          <w:rFonts w:hint="eastAsia" w:ascii="仿宋_GB2312" w:hAnsi="ˎ̥" w:eastAsia="仿宋_GB2312"/>
          <w:color w:val="000000"/>
          <w:sz w:val="32"/>
          <w:szCs w:val="32"/>
          <w:highlight w:val="none"/>
          <w:lang w:val="en-US" w:eastAsia="zh-CN"/>
        </w:rPr>
        <w:t>单位</w:t>
      </w:r>
      <w:r>
        <w:rPr>
          <w:rFonts w:hint="eastAsia" w:ascii="仿宋_GB2312" w:hAnsi="ˎ̥" w:eastAsia="仿宋_GB2312"/>
          <w:color w:val="000000"/>
          <w:sz w:val="32"/>
          <w:szCs w:val="32"/>
          <w:highlight w:val="none"/>
        </w:rPr>
        <w:t>决算中行政单位和参公事业单位财政拨款基本支出中公用经费支出之和，事业单位没有机关运行经费支出），比年初预算减少</w:t>
      </w:r>
      <w:r>
        <w:rPr>
          <w:rFonts w:hint="eastAsia" w:ascii="仿宋_GB2312" w:hAnsi="ˎ̥" w:eastAsia="仿宋_GB2312"/>
          <w:color w:val="000000"/>
          <w:sz w:val="32"/>
          <w:szCs w:val="32"/>
          <w:highlight w:val="none"/>
          <w:lang w:val="en-US" w:eastAsia="zh-CN"/>
        </w:rPr>
        <w:t>3.57</w:t>
      </w:r>
      <w:r>
        <w:rPr>
          <w:rFonts w:hint="eastAsia" w:ascii="仿宋_GB2312" w:hAnsi="ˎ̥" w:eastAsia="仿宋_GB2312"/>
          <w:color w:val="000000"/>
          <w:sz w:val="32"/>
          <w:szCs w:val="32"/>
          <w:highlight w:val="none"/>
        </w:rPr>
        <w:t>万元，降低</w:t>
      </w:r>
      <w:r>
        <w:rPr>
          <w:rFonts w:hint="eastAsia" w:ascii="仿宋_GB2312" w:hAnsi="ˎ̥" w:eastAsia="仿宋_GB2312"/>
          <w:color w:val="000000"/>
          <w:sz w:val="32"/>
          <w:szCs w:val="32"/>
          <w:highlight w:val="none"/>
          <w:lang w:val="en-US" w:eastAsia="zh-CN"/>
        </w:rPr>
        <w:t>17.2</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val="en-US" w:eastAsia="zh-CN"/>
        </w:rPr>
        <w:t>公车运行维护费未支出。</w:t>
      </w:r>
      <w:bookmarkStart w:id="101" w:name="_Toc30383_WPSOffice_Level2"/>
      <w:bookmarkStart w:id="102" w:name="_Toc32689_WPSOffice_Level2"/>
      <w:bookmarkStart w:id="103" w:name="_Toc13084_WPSOffice_Level2"/>
      <w:bookmarkStart w:id="104" w:name="_Toc23966_WPSOffice_Level2"/>
      <w:bookmarkStart w:id="105" w:name="_Toc25333_WPSOffice_Level2"/>
      <w:bookmarkStart w:id="106" w:name="_Toc3131_WPSOffice_Level2"/>
      <w:r>
        <w:rPr>
          <w:rFonts w:hint="eastAsia" w:ascii="楷体" w:hAnsi="楷体" w:eastAsia="楷体" w:cs="楷体"/>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val="en-US" w:eastAsia="zh-CN"/>
        </w:rPr>
        <w:t>中共海口市琼山区委机构编制委员会办公室</w:t>
      </w:r>
      <w:r>
        <w:rPr>
          <w:rFonts w:hint="eastAsia" w:ascii="仿宋_GB2312" w:hAnsi="ˎ̥" w:eastAsia="仿宋_GB2312"/>
          <w:color w:val="000000"/>
          <w:sz w:val="32"/>
          <w:szCs w:val="32"/>
          <w:highlight w:val="none"/>
        </w:rPr>
        <w:t>政府采购支出总额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万元，占政府采购支出总额的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%，其中：授予小微企业合同金额万元，占</w:t>
      </w:r>
      <w:r>
        <w:rPr>
          <w:rFonts w:hint="eastAsia" w:ascii="仿宋_GB2312" w:hAnsi="仿宋_GB2312" w:eastAsia="仿宋_GB2312" w:cs="仿宋_GB2312"/>
          <w:color w:val="000000"/>
          <w:kern w:val="0"/>
          <w:sz w:val="32"/>
          <w:szCs w:val="32"/>
          <w:highlight w:val="none"/>
          <w:lang w:bidi="ar"/>
        </w:rPr>
        <w:t>授予中小企业合同金额</w:t>
      </w:r>
      <w:r>
        <w:rPr>
          <w:rFonts w:hint="eastAsia" w:ascii="仿宋_GB2312" w:hAnsi="仿宋_GB2312" w:eastAsia="仿宋_GB2312" w:cs="仿宋_GB2312"/>
          <w:color w:val="000000"/>
          <w:sz w:val="32"/>
          <w:szCs w:val="32"/>
          <w:highlight w:val="none"/>
        </w:rPr>
        <w:t>的</w:t>
      </w:r>
      <w:r>
        <w:rPr>
          <w:rFonts w:hint="eastAsia" w:ascii="仿宋_GB2312" w:hAnsi="仿宋_GB2312" w:eastAsia="仿宋_GB2312" w:cs="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7" w:name="_Toc10902_WPSOffice_Level2"/>
      <w:bookmarkStart w:id="108" w:name="_Toc527_WPSOffice_Level2"/>
      <w:bookmarkStart w:id="109" w:name="_Toc15129_WPSOffice_Level2"/>
      <w:bookmarkStart w:id="110" w:name="_Toc6016_WPSOffice_Level2"/>
      <w:bookmarkStart w:id="111" w:name="_Toc19989_WPSOffice_Level2"/>
      <w:bookmarkStart w:id="112" w:name="_Toc29584_WPSOffice_Level2"/>
      <w:r>
        <w:rPr>
          <w:rFonts w:hint="eastAsia" w:ascii="楷体" w:hAnsi="楷体" w:eastAsia="楷体" w:cs="楷体"/>
          <w:bCs/>
          <w:color w:val="000000"/>
          <w:sz w:val="32"/>
          <w:szCs w:val="32"/>
          <w:highlight w:val="none"/>
        </w:rPr>
        <w:t>（三）国有资产占用情况。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bCs/>
          <w:color w:val="000000"/>
          <w:sz w:val="32"/>
          <w:szCs w:val="32"/>
          <w:highlight w:val="none"/>
        </w:rPr>
        <w:t>截至2022年12月31日，本部门拥有</w:t>
      </w:r>
      <w:r>
        <w:rPr>
          <w:rFonts w:hint="eastAsia" w:ascii="仿宋_GB2312" w:hAnsi="ˎ̥" w:eastAsia="仿宋_GB2312"/>
          <w:color w:val="000000"/>
          <w:sz w:val="32"/>
          <w:szCs w:val="32"/>
          <w:highlight w:val="none"/>
        </w:rPr>
        <w:t>房屋面积</w:t>
      </w:r>
      <w:r>
        <w:rPr>
          <w:rFonts w:hint="eastAsia" w:ascii="仿宋_GB2312" w:hAnsi="ˎ̥" w:eastAsia="仿宋_GB2312"/>
          <w:color w:val="000000"/>
          <w:sz w:val="32"/>
          <w:szCs w:val="32"/>
          <w:highlight w:val="none"/>
          <w:lang w:val="en-US" w:eastAsia="zh-CN"/>
        </w:rPr>
        <w:t>72.96</w:t>
      </w:r>
      <w:r>
        <w:rPr>
          <w:rFonts w:hint="eastAsia" w:ascii="仿宋_GB2312" w:hAnsi="ˎ̥" w:eastAsia="仿宋_GB2312"/>
          <w:color w:val="000000"/>
          <w:sz w:val="32"/>
          <w:szCs w:val="32"/>
          <w:highlight w:val="none"/>
        </w:rPr>
        <w:t>平方米，其中：办公用房</w:t>
      </w:r>
      <w:r>
        <w:rPr>
          <w:rFonts w:hint="eastAsia" w:ascii="仿宋_GB2312" w:hAnsi="ˎ̥" w:eastAsia="仿宋_GB2312"/>
          <w:color w:val="000000"/>
          <w:sz w:val="32"/>
          <w:szCs w:val="32"/>
          <w:highlight w:val="none"/>
          <w:lang w:val="en-US" w:eastAsia="zh-CN"/>
        </w:rPr>
        <w:t>72.96</w:t>
      </w:r>
      <w:r>
        <w:rPr>
          <w:rFonts w:hint="eastAsia" w:ascii="仿宋_GB2312" w:hAnsi="ˎ̥" w:eastAsia="仿宋_GB2312"/>
          <w:color w:val="000000"/>
          <w:sz w:val="32"/>
          <w:szCs w:val="32"/>
          <w:highlight w:val="none"/>
        </w:rPr>
        <w:t>平方米，业务用房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平方米，其他（不含构筑物）</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本部门共有车辆</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辆，其中，副部（省）级及以上领导用车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辆、主要领导干部用车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辆、机要通信用车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辆、应急保障用车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辆、执法执勤用车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辆、特种专业技术用车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辆、离退休干部用车辆、其他用车</w:t>
      </w:r>
      <w:r>
        <w:rPr>
          <w:rFonts w:hint="eastAsia" w:ascii="仿宋_GB2312" w:hAnsi="ˎ̥" w:eastAsia="仿宋_GB2312"/>
          <w:color w:val="000000"/>
          <w:sz w:val="32"/>
          <w:szCs w:val="32"/>
          <w:highlight w:val="none"/>
          <w:lang w:val="en-US" w:eastAsia="zh-CN"/>
        </w:rPr>
        <w:t>1</w:t>
      </w:r>
      <w:r>
        <w:rPr>
          <w:rFonts w:hint="eastAsia" w:ascii="仿宋_GB2312" w:hAnsi="ˎ̥" w:eastAsia="仿宋_GB2312"/>
          <w:color w:val="000000"/>
          <w:sz w:val="32"/>
          <w:szCs w:val="32"/>
          <w:highlight w:val="none"/>
        </w:rPr>
        <w:t>辆，其他用车主要是</w:t>
      </w:r>
      <w:r>
        <w:rPr>
          <w:rFonts w:hint="eastAsia" w:ascii="仿宋_GB2312" w:hAnsi="ˎ̥" w:eastAsia="仿宋_GB2312"/>
          <w:color w:val="000000"/>
          <w:sz w:val="32"/>
          <w:szCs w:val="32"/>
          <w:highlight w:val="none"/>
          <w:lang w:val="en-US" w:eastAsia="zh-CN"/>
        </w:rPr>
        <w:t>用于下乡开展乡村振兴等工作。</w:t>
      </w:r>
      <w:r>
        <w:rPr>
          <w:rFonts w:hint="eastAsia" w:ascii="仿宋_GB2312" w:hAnsi="ˎ̥" w:eastAsia="仿宋_GB2312"/>
          <w:color w:val="000000"/>
          <w:sz w:val="32"/>
          <w:szCs w:val="32"/>
          <w:highlight w:val="none"/>
        </w:rPr>
        <w:t>单价100万元（含）以上设备（不含车辆）</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年末在建工程</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13" w:name="_Toc4398_WPSOffice_Level1"/>
      <w:bookmarkStart w:id="114" w:name="_Toc8808_WPSOffice_Level1"/>
      <w:bookmarkStart w:id="115" w:name="_Toc8874_WPSOffice_Level1"/>
      <w:bookmarkStart w:id="116" w:name="_Toc15425_WPSOffice_Level1"/>
      <w:bookmarkStart w:id="117" w:name="_Toc17580_WPSOffice_Level1"/>
      <w:bookmarkStart w:id="118" w:name="_Toc11039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kinsoku/>
        <w:wordWrap/>
        <w:overflowPunct/>
        <w:topLinePunct w:val="0"/>
        <w:autoSpaceDE/>
        <w:autoSpaceDN/>
        <w:bidi w:val="0"/>
        <w:adjustRightInd/>
        <w:snapToGrid/>
        <w:spacing w:line="560" w:lineRule="exact"/>
        <w:textAlignment w:val="auto"/>
        <w:rPr>
          <w:color w:val="000000"/>
          <w:highlight w:val="none"/>
        </w:rPr>
      </w:pPr>
    </w:p>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rPr>
                              <w:rStyle w:val="7"/>
                            </w:rPr>
                            <w:t xml:space="preserve">— </w:t>
                          </w:r>
                          <w:r>
                            <w:rPr>
                              <w:rStyle w:val="7"/>
                            </w:rPr>
                            <w:fldChar w:fldCharType="begin"/>
                          </w:r>
                          <w:r>
                            <w:rPr>
                              <w:rStyle w:val="7"/>
                            </w:rPr>
                            <w:instrText xml:space="preserve"> PAGE  \* MERGEFORMAT </w:instrText>
                          </w:r>
                          <w:r>
                            <w:rPr>
                              <w:rStyle w:val="7"/>
                            </w:rPr>
                            <w:fldChar w:fldCharType="separate"/>
                          </w:r>
                          <w:r>
                            <w:rPr>
                              <w:rStyle w:val="7"/>
                            </w:rPr>
                            <w:t>1</w:t>
                          </w:r>
                          <w:r>
                            <w:rPr>
                              <w:rStyle w:val="7"/>
                            </w:rPr>
                            <w:fldChar w:fldCharType="end"/>
                          </w:r>
                          <w:r>
                            <w:rPr>
                              <w:rStyle w:val="7"/>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3"/>
                      <w:rPr>
                        <w:rStyle w:val="7"/>
                      </w:rPr>
                    </w:pPr>
                    <w:r>
                      <w:rPr>
                        <w:rStyle w:val="7"/>
                      </w:rPr>
                      <w:t xml:space="preserve">— </w:t>
                    </w:r>
                    <w:r>
                      <w:rPr>
                        <w:rStyle w:val="7"/>
                      </w:rPr>
                      <w:fldChar w:fldCharType="begin"/>
                    </w:r>
                    <w:r>
                      <w:rPr>
                        <w:rStyle w:val="7"/>
                      </w:rPr>
                      <w:instrText xml:space="preserve"> PAGE  \* MERGEFORMAT </w:instrText>
                    </w:r>
                    <w:r>
                      <w:rPr>
                        <w:rStyle w:val="7"/>
                      </w:rPr>
                      <w:fldChar w:fldCharType="separate"/>
                    </w:r>
                    <w:r>
                      <w:rPr>
                        <w:rStyle w:val="7"/>
                      </w:rPr>
                      <w:t>1</w:t>
                    </w:r>
                    <w:r>
                      <w:rPr>
                        <w:rStyle w:val="7"/>
                      </w:rPr>
                      <w:fldChar w:fldCharType="end"/>
                    </w:r>
                    <w:r>
                      <w:rPr>
                        <w:rStyle w:val="7"/>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abstractNum w:abstractNumId="3">
    <w:nsid w:val="7AD61554"/>
    <w:multiLevelType w:val="singleLevel"/>
    <w:tmpl w:val="7AD61554"/>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F73C99"/>
    <w:rsid w:val="00064A91"/>
    <w:rsid w:val="000718C4"/>
    <w:rsid w:val="000779B0"/>
    <w:rsid w:val="001E4E23"/>
    <w:rsid w:val="001E510D"/>
    <w:rsid w:val="001F28C1"/>
    <w:rsid w:val="001F4EC0"/>
    <w:rsid w:val="00213789"/>
    <w:rsid w:val="002A6E07"/>
    <w:rsid w:val="003D2F77"/>
    <w:rsid w:val="004D515A"/>
    <w:rsid w:val="005C43A2"/>
    <w:rsid w:val="00602EED"/>
    <w:rsid w:val="00731FC7"/>
    <w:rsid w:val="00754F6E"/>
    <w:rsid w:val="009A2744"/>
    <w:rsid w:val="00A54A37"/>
    <w:rsid w:val="00AC28EE"/>
    <w:rsid w:val="00B36E61"/>
    <w:rsid w:val="00B409FF"/>
    <w:rsid w:val="00BC0439"/>
    <w:rsid w:val="00CA0F14"/>
    <w:rsid w:val="00CB0D1E"/>
    <w:rsid w:val="00DB612B"/>
    <w:rsid w:val="00DC2A37"/>
    <w:rsid w:val="00F0336A"/>
    <w:rsid w:val="00F06DA9"/>
    <w:rsid w:val="00F25220"/>
    <w:rsid w:val="00FC03DC"/>
    <w:rsid w:val="01F963E6"/>
    <w:rsid w:val="094A248A"/>
    <w:rsid w:val="0A1F431C"/>
    <w:rsid w:val="0B6A1DCD"/>
    <w:rsid w:val="0D150187"/>
    <w:rsid w:val="0F663BD2"/>
    <w:rsid w:val="136F98C7"/>
    <w:rsid w:val="149B5FB1"/>
    <w:rsid w:val="1DE7CF42"/>
    <w:rsid w:val="21C00CB4"/>
    <w:rsid w:val="23F71198"/>
    <w:rsid w:val="263F25C5"/>
    <w:rsid w:val="34876442"/>
    <w:rsid w:val="35B95783"/>
    <w:rsid w:val="37FDA7E2"/>
    <w:rsid w:val="383D0AAB"/>
    <w:rsid w:val="3B8828E3"/>
    <w:rsid w:val="3BFA0FCD"/>
    <w:rsid w:val="3F6665A4"/>
    <w:rsid w:val="437A4961"/>
    <w:rsid w:val="47BB7554"/>
    <w:rsid w:val="49800A8A"/>
    <w:rsid w:val="4CED5F6C"/>
    <w:rsid w:val="522D7F92"/>
    <w:rsid w:val="53593370"/>
    <w:rsid w:val="58E04D00"/>
    <w:rsid w:val="5A1E3D54"/>
    <w:rsid w:val="5B2A2633"/>
    <w:rsid w:val="5F7D3333"/>
    <w:rsid w:val="65442E35"/>
    <w:rsid w:val="65F7100F"/>
    <w:rsid w:val="668C4BE6"/>
    <w:rsid w:val="680A20E3"/>
    <w:rsid w:val="6EB072A6"/>
    <w:rsid w:val="6F670F9B"/>
    <w:rsid w:val="704760C2"/>
    <w:rsid w:val="730E55D1"/>
    <w:rsid w:val="732A3518"/>
    <w:rsid w:val="74093C08"/>
    <w:rsid w:val="75372728"/>
    <w:rsid w:val="75ABE07F"/>
    <w:rsid w:val="792C2170"/>
    <w:rsid w:val="7DB0448C"/>
    <w:rsid w:val="7E5F9AA4"/>
    <w:rsid w:val="7EAFA869"/>
    <w:rsid w:val="7FCB58E0"/>
    <w:rsid w:val="7FFAF586"/>
    <w:rsid w:val="8FFC8888"/>
    <w:rsid w:val="A7F73C99"/>
    <w:rsid w:val="BAAF9708"/>
    <w:rsid w:val="BFFD1316"/>
    <w:rsid w:val="D8BB1E73"/>
    <w:rsid w:val="D955173D"/>
    <w:rsid w:val="DDF4A437"/>
    <w:rsid w:val="DFDF7540"/>
    <w:rsid w:val="DFEBDA37"/>
    <w:rsid w:val="FEF5C0D4"/>
    <w:rsid w:val="FEFB63A4"/>
    <w:rsid w:val="FF23D46A"/>
    <w:rsid w:val="FF77658B"/>
    <w:rsid w:val="FF7FA20F"/>
    <w:rsid w:val="FFBFA98A"/>
    <w:rsid w:val="FFCF2E48"/>
    <w:rsid w:val="FFDB4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customStyle="1" w:styleId="8">
    <w:name w:val="WPSOffice手动目录 1"/>
    <w:qFormat/>
    <w:uiPriority w:val="0"/>
    <w:rPr>
      <w:lang w:val="en-US" w:eastAsia="zh-CN" w:bidi="ar-SA"/>
    </w:rPr>
  </w:style>
  <w:style w:type="paragraph" w:customStyle="1" w:styleId="9">
    <w:name w:val="WPSOffice手动目录 2"/>
    <w:qFormat/>
    <w:uiPriority w:val="0"/>
    <w:pPr>
      <w:ind w:leftChars="200"/>
    </w:pPr>
    <w:rPr>
      <w:lang w:val="en-US" w:eastAsia="zh-CN" w:bidi="ar-SA"/>
    </w:rPr>
  </w:style>
  <w:style w:type="paragraph" w:customStyle="1" w:styleId="10">
    <w:name w:val="正文1 Char Char Char"/>
    <w:basedOn w:val="1"/>
    <w:qFormat/>
    <w:uiPriority w:val="0"/>
    <w:pPr>
      <w:spacing w:line="360" w:lineRule="auto"/>
      <w:ind w:firstLine="200" w:firstLineChars="200"/>
    </w:pPr>
  </w:style>
  <w:style w:type="paragraph" w:customStyle="1" w:styleId="11">
    <w:name w:val="p0"/>
    <w:basedOn w:val="1"/>
    <w:uiPriority w:val="0"/>
    <w:pPr>
      <w:widowControl/>
    </w:pPr>
    <w:rPr>
      <w:rFonts w:hAnsi="宋体" w:cs="宋体"/>
      <w:kern w:val="0"/>
      <w:szCs w:val="32"/>
    </w:rPr>
  </w:style>
  <w:style w:type="paragraph" w:customStyle="1" w:styleId="12">
    <w:name w:val="列出段落1"/>
    <w:basedOn w:val="1"/>
    <w:qFormat/>
    <w:uiPriority w:val="34"/>
    <w:pPr>
      <w:ind w:firstLine="420" w:firstLineChars="200"/>
    </w:pPr>
    <w:rPr>
      <w:rFonts w:ascii="Calibri" w:hAnsi="Calibri" w:eastAsia="宋体" w:cs="Times New Roman"/>
      <w:szCs w:val="22"/>
    </w:rPr>
  </w:style>
  <w:style w:type="character" w:customStyle="1" w:styleId="13">
    <w:name w:val="批注框文本 Char"/>
    <w:link w:val="2"/>
    <w:uiPriority w:val="0"/>
    <w:rPr>
      <w:kern w:val="2"/>
      <w:sz w:val="18"/>
      <w:szCs w:val="18"/>
    </w:rPr>
  </w:style>
  <w:style w:type="character" w:customStyle="1" w:styleId="14">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1377</Words>
  <Characters>7851</Characters>
  <Lines>65</Lines>
  <Paragraphs>18</Paragraphs>
  <TotalTime>3</TotalTime>
  <ScaleCrop>false</ScaleCrop>
  <LinksUpToDate>false</LinksUpToDate>
  <CharactersWithSpaces>9210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2023-07-31T02:06:00Z</dcterms:created>
  <dc:creator>uos</dc:creator>
  <cp:lastModifiedBy>HH</cp:lastModifiedBy>
  <cp:lastPrinted>2023-08-06T18:55:30Z</cp:lastPrinted>
  <dcterms:modified xsi:type="dcterms:W3CDTF">2023-11-07T02:04:38Z</dcterms:modified>
  <dc:title>附件2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73021B7ED26E4136854807DC39682C96</vt:lpwstr>
  </property>
</Properties>
</file>