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Lines="0" w:afterLines="0"/>
        <w:ind w:left="0" w:firstLine="0" w:firstLineChars="0"/>
        <w:jc w:val="center"/>
        <w:rPr>
          <w:sz w:val="44"/>
          <w:szCs w:val="44"/>
        </w:rPr>
      </w:pPr>
    </w:p>
    <w:p>
      <w:pPr>
        <w:pStyle w:val="5"/>
        <w:spacing w:beforeLines="0" w:afterLines="0"/>
        <w:ind w:left="0" w:firstLine="0" w:firstLineChars="0"/>
        <w:jc w:val="center"/>
        <w:rPr>
          <w:sz w:val="44"/>
          <w:szCs w:val="44"/>
        </w:rPr>
      </w:pPr>
    </w:p>
    <w:p>
      <w:pPr>
        <w:pStyle w:val="5"/>
        <w:spacing w:beforeLines="0" w:afterLines="0"/>
        <w:ind w:left="0" w:firstLine="0" w:firstLineChars="0"/>
        <w:jc w:val="center"/>
        <w:rPr>
          <w:sz w:val="44"/>
          <w:szCs w:val="44"/>
        </w:rPr>
      </w:pPr>
    </w:p>
    <w:p>
      <w:pPr>
        <w:pStyle w:val="5"/>
        <w:spacing w:beforeLines="0" w:afterLines="0"/>
        <w:ind w:left="0" w:firstLine="0" w:firstLineChars="0"/>
        <w:jc w:val="center"/>
        <w:rPr>
          <w:sz w:val="44"/>
          <w:szCs w:val="44"/>
        </w:rPr>
      </w:pPr>
    </w:p>
    <w:p>
      <w:pPr>
        <w:pStyle w:val="5"/>
        <w:spacing w:beforeLines="0" w:afterLines="0" w:line="360" w:lineRule="auto"/>
        <w:ind w:firstLine="0" w:firstLineChars="0"/>
        <w:jc w:val="center"/>
        <w:rPr>
          <w:sz w:val="44"/>
          <w:szCs w:val="44"/>
        </w:rPr>
      </w:pPr>
      <w:r>
        <w:rPr>
          <w:sz w:val="44"/>
          <w:szCs w:val="44"/>
        </w:rPr>
        <w:t>海口市</w:t>
      </w:r>
      <w:r>
        <w:rPr>
          <w:rFonts w:hint="eastAsia"/>
          <w:sz w:val="44"/>
          <w:szCs w:val="44"/>
        </w:rPr>
        <w:t>琼山区滨江新城三期（冯村、南渡村）</w:t>
      </w:r>
    </w:p>
    <w:p>
      <w:pPr>
        <w:pStyle w:val="5"/>
        <w:spacing w:beforeLines="0" w:afterLines="0" w:line="360" w:lineRule="auto"/>
        <w:ind w:left="0" w:firstLine="0" w:firstLineChars="0"/>
        <w:jc w:val="center"/>
        <w:rPr>
          <w:sz w:val="44"/>
          <w:szCs w:val="44"/>
        </w:rPr>
      </w:pPr>
      <w:r>
        <w:rPr>
          <w:sz w:val="44"/>
          <w:szCs w:val="44"/>
        </w:rPr>
        <w:t>土地征收成片开发方案</w:t>
      </w:r>
    </w:p>
    <w:p>
      <w:pPr>
        <w:pStyle w:val="5"/>
        <w:spacing w:beforeLines="0" w:afterLines="0"/>
        <w:ind w:left="0" w:firstLine="0" w:firstLineChars="0"/>
        <w:jc w:val="center"/>
      </w:pPr>
      <w:r>
        <w:t>（公示稿）</w:t>
      </w:r>
    </w:p>
    <w:p>
      <w:pPr>
        <w:pStyle w:val="5"/>
        <w:spacing w:beforeLines="0" w:afterLines="0"/>
        <w:ind w:left="0" w:firstLine="0" w:firstLineChars="0"/>
        <w:jc w:val="center"/>
      </w:pPr>
    </w:p>
    <w:p>
      <w:pPr>
        <w:pStyle w:val="5"/>
        <w:spacing w:beforeLines="0" w:afterLines="0"/>
        <w:ind w:left="0" w:firstLine="0" w:firstLineChars="0"/>
        <w:jc w:val="center"/>
      </w:pPr>
    </w:p>
    <w:p>
      <w:pPr>
        <w:pStyle w:val="5"/>
        <w:spacing w:beforeLines="0" w:afterLines="0"/>
        <w:ind w:left="0" w:firstLine="0" w:firstLineChars="0"/>
        <w:jc w:val="center"/>
      </w:pPr>
    </w:p>
    <w:p>
      <w:pPr>
        <w:pStyle w:val="5"/>
        <w:spacing w:beforeLines="0" w:afterLines="0"/>
        <w:ind w:left="0" w:firstLine="0" w:firstLineChars="0"/>
        <w:jc w:val="center"/>
      </w:pPr>
    </w:p>
    <w:p>
      <w:pPr>
        <w:pStyle w:val="5"/>
        <w:spacing w:beforeLines="0" w:afterLines="0"/>
        <w:ind w:left="0" w:firstLine="0" w:firstLineChars="0"/>
        <w:jc w:val="center"/>
      </w:pPr>
    </w:p>
    <w:p>
      <w:pPr>
        <w:pStyle w:val="5"/>
        <w:spacing w:beforeLines="0" w:afterLines="0"/>
        <w:ind w:left="0" w:firstLine="0" w:firstLineChars="0"/>
        <w:jc w:val="center"/>
      </w:pPr>
    </w:p>
    <w:p>
      <w:pPr>
        <w:pStyle w:val="5"/>
        <w:spacing w:beforeLines="0" w:afterLines="0"/>
        <w:ind w:left="0" w:firstLine="0" w:firstLineChars="0"/>
        <w:jc w:val="center"/>
      </w:pPr>
    </w:p>
    <w:p>
      <w:pPr>
        <w:pStyle w:val="5"/>
        <w:spacing w:beforeLines="0" w:afterLines="0"/>
        <w:ind w:left="0" w:firstLine="0" w:firstLineChars="0"/>
        <w:jc w:val="center"/>
      </w:pPr>
    </w:p>
    <w:p>
      <w:pPr>
        <w:pStyle w:val="5"/>
        <w:spacing w:beforeLines="0" w:afterLines="0"/>
        <w:ind w:left="0" w:firstLine="0" w:firstLineChars="0"/>
        <w:jc w:val="center"/>
      </w:pPr>
      <w:bookmarkStart w:id="0" w:name="_GoBack"/>
      <w:bookmarkEnd w:id="0"/>
    </w:p>
    <w:p>
      <w:pPr>
        <w:pStyle w:val="5"/>
        <w:spacing w:beforeLines="0" w:afterLines="0"/>
        <w:ind w:left="0" w:firstLine="0" w:firstLineChars="0"/>
        <w:jc w:val="center"/>
        <w:rPr>
          <w:sz w:val="30"/>
          <w:szCs w:val="30"/>
        </w:rPr>
      </w:pPr>
    </w:p>
    <w:p>
      <w:pPr>
        <w:pStyle w:val="5"/>
        <w:spacing w:beforeLines="0" w:afterLines="0"/>
        <w:ind w:left="0" w:firstLine="0" w:firstLineChars="0"/>
        <w:jc w:val="center"/>
        <w:rPr>
          <w:sz w:val="30"/>
          <w:szCs w:val="30"/>
        </w:rPr>
      </w:pPr>
      <w:r>
        <w:rPr>
          <w:sz w:val="30"/>
          <w:szCs w:val="30"/>
        </w:rPr>
        <w:t>二零二</w:t>
      </w:r>
      <w:r>
        <w:rPr>
          <w:rFonts w:hint="eastAsia"/>
          <w:sz w:val="30"/>
          <w:szCs w:val="30"/>
        </w:rPr>
        <w:t>四</w:t>
      </w:r>
      <w:r>
        <w:rPr>
          <w:sz w:val="30"/>
          <w:szCs w:val="30"/>
        </w:rPr>
        <w:t>年</w:t>
      </w:r>
      <w:r>
        <w:rPr>
          <w:rFonts w:hint="eastAsia"/>
          <w:sz w:val="30"/>
          <w:szCs w:val="30"/>
          <w:lang w:val="en-US" w:eastAsia="zh-CN"/>
        </w:rPr>
        <w:t>二</w:t>
      </w:r>
      <w:r>
        <w:rPr>
          <w:sz w:val="30"/>
          <w:szCs w:val="30"/>
        </w:rPr>
        <w:t>月</w:t>
      </w:r>
    </w:p>
    <w:p>
      <w:pPr>
        <w:pStyle w:val="5"/>
        <w:spacing w:before="120" w:after="120"/>
        <w:ind w:firstLine="602"/>
        <w:jc w:val="center"/>
        <w:rPr>
          <w:sz w:val="30"/>
          <w:szCs w:val="30"/>
        </w:rPr>
        <w:sectPr>
          <w:headerReference r:id="rId7" w:type="first"/>
          <w:footerReference r:id="rId10" w:type="first"/>
          <w:headerReference r:id="rId5" w:type="default"/>
          <w:footerReference r:id="rId8" w:type="default"/>
          <w:headerReference r:id="rId6" w:type="even"/>
          <w:footerReference r:id="rId9" w:type="even"/>
          <w:type w:val="continuous"/>
          <w:pgSz w:w="11906" w:h="16840"/>
          <w:pgMar w:top="1580" w:right="1680" w:bottom="280" w:left="1680" w:header="720" w:footer="720" w:gutter="0"/>
          <w:cols w:space="720" w:num="1"/>
        </w:sectPr>
      </w:pPr>
    </w:p>
    <w:p>
      <w:pPr>
        <w:spacing w:before="120" w:after="120"/>
      </w:pPr>
      <w:r>
        <w:rPr>
          <w:rFonts w:hint="eastAsia"/>
        </w:rPr>
        <w:t>为落实海口市“十四五”国民经济和社会发展规划、市总体规划和滨江新城控制性详细规划，依法推进农村集体所有土地征收工作，维护农村集体和农民利益，根据《土地管理法》、自然资源部印发的《土地成片开发标准（试行）》（自然资规</w:t>
      </w:r>
      <w:r>
        <w:t>[2020]5 号文）、海南</w:t>
      </w:r>
      <w:r>
        <w:rPr>
          <w:rFonts w:hint="eastAsia"/>
        </w:rPr>
        <w:t>省自然资源和规划厅关于印发《海南省土地征收成片开发标准实施细则（试行）》的通知（琼自然资规〔</w:t>
      </w:r>
      <w:r>
        <w:t>2021〕6 号）等相关规</w:t>
      </w:r>
      <w:r>
        <w:rPr>
          <w:rFonts w:hint="eastAsia"/>
        </w:rPr>
        <w:t>定，需编制土地征收成片开发方案。</w:t>
      </w:r>
    </w:p>
    <w:p>
      <w:pPr>
        <w:spacing w:before="120" w:after="120"/>
      </w:pPr>
      <w:r>
        <w:rPr>
          <w:rFonts w:hint="eastAsia" w:cs="仿宋p."/>
          <w:color w:val="000000" w:themeColor="text1"/>
        </w:rPr>
        <w:t>项目</w:t>
      </w:r>
      <w:r>
        <w:rPr>
          <w:rFonts w:cs="仿宋p."/>
          <w:color w:val="000000" w:themeColor="text1"/>
        </w:rPr>
        <w:t>位</w:t>
      </w:r>
      <w:r>
        <w:rPr>
          <w:rFonts w:hint="eastAsia" w:cs="仿宋p."/>
          <w:color w:val="000000" w:themeColor="text1"/>
        </w:rPr>
        <w:t>于海口市琼山区</w:t>
      </w:r>
      <w:r>
        <w:rPr>
          <w:rFonts w:cs="仿宋p."/>
          <w:color w:val="000000" w:themeColor="text1"/>
        </w:rPr>
        <w:t>的</w:t>
      </w:r>
      <w:r>
        <w:rPr>
          <w:rFonts w:hint="eastAsia" w:cs="仿宋p."/>
          <w:color w:val="000000" w:themeColor="text1"/>
        </w:rPr>
        <w:t>滨江新城片区东南侧，是滨江新城的重要组成部分。项目北隔南渡江与江东新区相望，滨江视野景观开阔，北接滨江路，南接新大洲大道，东西两侧被响水河环绕，区位交通优越。</w:t>
      </w:r>
      <w:r>
        <w:rPr>
          <w:rFonts w:hint="eastAsia" w:cs="仿宋p."/>
        </w:rPr>
        <w:t>项目总用地面</w:t>
      </w:r>
      <w:r>
        <w:rPr>
          <w:rFonts w:hint="eastAsia" w:cs="仿宋p."/>
          <w:color w:val="000000" w:themeColor="text1"/>
        </w:rPr>
        <w:t>积51.4734公顷（约772.101</w:t>
      </w:r>
      <w:r>
        <w:rPr>
          <w:rFonts w:cs="仿宋p."/>
          <w:color w:val="000000" w:themeColor="text1"/>
        </w:rPr>
        <w:t>3</w:t>
      </w:r>
      <w:r>
        <w:rPr>
          <w:rFonts w:hint="eastAsia" w:cs="仿宋p."/>
          <w:color w:val="000000" w:themeColor="text1"/>
        </w:rPr>
        <w:t>亩）</w:t>
      </w:r>
      <w:r>
        <w:rPr>
          <w:rFonts w:cs="仿宋p."/>
          <w:color w:val="000000" w:themeColor="text1"/>
        </w:rPr>
        <w:t>。</w:t>
      </w:r>
    </w:p>
    <w:p>
      <w:pPr>
        <w:autoSpaceDE w:val="0"/>
        <w:autoSpaceDN w:val="0"/>
        <w:adjustRightInd w:val="0"/>
        <w:spacing w:before="120" w:after="120"/>
        <w:ind w:firstLine="708" w:firstLineChars="253"/>
        <w:jc w:val="left"/>
        <w:rPr>
          <w:rFonts w:cs="仿宋p."/>
        </w:rPr>
      </w:pPr>
      <w:r>
        <w:rPr>
          <w:rFonts w:cs="仿宋p."/>
        </w:rPr>
        <w:drawing>
          <wp:anchor distT="0" distB="0" distL="114300" distR="114300" simplePos="0" relativeHeight="251660288" behindDoc="0" locked="0" layoutInCell="1" allowOverlap="1">
            <wp:simplePos x="0" y="0"/>
            <wp:positionH relativeFrom="column">
              <wp:posOffset>453390</wp:posOffset>
            </wp:positionH>
            <wp:positionV relativeFrom="paragraph">
              <wp:posOffset>-6350</wp:posOffset>
            </wp:positionV>
            <wp:extent cx="4489450" cy="3916680"/>
            <wp:effectExtent l="19050" t="0" r="6332"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rcRect t="4715" b="4728"/>
                    <a:stretch>
                      <a:fillRect/>
                    </a:stretch>
                  </pic:blipFill>
                  <pic:spPr>
                    <a:xfrm>
                      <a:off x="0" y="0"/>
                      <a:ext cx="4489468" cy="3916908"/>
                    </a:xfrm>
                    <a:prstGeom prst="rect">
                      <a:avLst/>
                    </a:prstGeom>
                    <a:ln>
                      <a:noFill/>
                    </a:ln>
                  </pic:spPr>
                </pic:pic>
              </a:graphicData>
            </a:graphic>
          </wp:anchor>
        </w:drawing>
      </w:r>
    </w:p>
    <w:p>
      <w:pPr>
        <w:autoSpaceDE w:val="0"/>
        <w:autoSpaceDN w:val="0"/>
        <w:adjustRightInd w:val="0"/>
        <w:spacing w:before="120" w:after="120"/>
        <w:ind w:firstLine="708" w:firstLineChars="253"/>
        <w:jc w:val="left"/>
        <w:rPr>
          <w:rFonts w:cs="仿宋p."/>
        </w:rPr>
      </w:pPr>
    </w:p>
    <w:p>
      <w:pPr>
        <w:autoSpaceDE w:val="0"/>
        <w:autoSpaceDN w:val="0"/>
        <w:adjustRightInd w:val="0"/>
        <w:spacing w:before="120" w:after="120"/>
        <w:ind w:firstLine="708" w:firstLineChars="253"/>
        <w:jc w:val="left"/>
        <w:rPr>
          <w:rFonts w:cs="仿宋p."/>
        </w:rPr>
      </w:pPr>
    </w:p>
    <w:p>
      <w:pPr>
        <w:autoSpaceDE w:val="0"/>
        <w:autoSpaceDN w:val="0"/>
        <w:adjustRightInd w:val="0"/>
        <w:spacing w:before="120" w:after="120"/>
        <w:ind w:firstLine="708" w:firstLineChars="253"/>
        <w:jc w:val="left"/>
        <w:rPr>
          <w:rFonts w:cs="仿宋p."/>
        </w:rPr>
      </w:pPr>
    </w:p>
    <w:p>
      <w:pPr>
        <w:autoSpaceDE w:val="0"/>
        <w:autoSpaceDN w:val="0"/>
        <w:adjustRightInd w:val="0"/>
        <w:spacing w:before="120" w:after="120"/>
        <w:ind w:firstLine="708" w:firstLineChars="253"/>
        <w:jc w:val="left"/>
        <w:rPr>
          <w:rFonts w:cs="仿宋p."/>
        </w:rPr>
      </w:pPr>
    </w:p>
    <w:p>
      <w:pPr>
        <w:autoSpaceDE w:val="0"/>
        <w:autoSpaceDN w:val="0"/>
        <w:adjustRightInd w:val="0"/>
        <w:spacing w:before="120" w:after="120"/>
        <w:ind w:firstLine="708" w:firstLineChars="253"/>
        <w:jc w:val="left"/>
        <w:rPr>
          <w:rFonts w:cs="仿宋p."/>
        </w:rPr>
      </w:pPr>
    </w:p>
    <w:p>
      <w:pPr>
        <w:autoSpaceDE w:val="0"/>
        <w:autoSpaceDN w:val="0"/>
        <w:adjustRightInd w:val="0"/>
        <w:spacing w:before="120" w:after="120"/>
        <w:ind w:firstLine="708" w:firstLineChars="253"/>
        <w:jc w:val="left"/>
        <w:rPr>
          <w:rFonts w:cs="仿宋p."/>
        </w:rPr>
      </w:pPr>
    </w:p>
    <w:p>
      <w:pPr>
        <w:autoSpaceDE w:val="0"/>
        <w:autoSpaceDN w:val="0"/>
        <w:adjustRightInd w:val="0"/>
        <w:spacing w:before="120" w:after="120"/>
        <w:ind w:firstLine="708" w:firstLineChars="253"/>
        <w:jc w:val="left"/>
        <w:rPr>
          <w:rFonts w:cs="仿宋p."/>
        </w:rPr>
      </w:pPr>
    </w:p>
    <w:p>
      <w:pPr>
        <w:autoSpaceDE w:val="0"/>
        <w:autoSpaceDN w:val="0"/>
        <w:adjustRightInd w:val="0"/>
        <w:spacing w:before="120" w:after="120"/>
        <w:ind w:firstLine="708" w:firstLineChars="253"/>
        <w:jc w:val="left"/>
        <w:rPr>
          <w:rFonts w:cs="仿宋p."/>
        </w:rPr>
      </w:pPr>
    </w:p>
    <w:p>
      <w:pPr>
        <w:spacing w:beforeLines="0" w:afterLines="0"/>
        <w:ind w:firstLine="0" w:firstLineChars="0"/>
        <w:jc w:val="center"/>
        <w:rPr>
          <w:color w:val="000000" w:themeColor="text1"/>
          <w:sz w:val="24"/>
          <w:szCs w:val="24"/>
        </w:rPr>
      </w:pPr>
      <w:r>
        <w:rPr>
          <w:color w:val="000000" w:themeColor="text1"/>
          <w:sz w:val="24"/>
          <w:szCs w:val="24"/>
        </w:rPr>
        <w:t>图1成片开发区域范围示意图</w:t>
      </w:r>
    </w:p>
    <w:p>
      <w:pPr>
        <w:autoSpaceDE w:val="0"/>
        <w:autoSpaceDN w:val="0"/>
        <w:adjustRightInd w:val="0"/>
        <w:spacing w:before="120" w:after="120"/>
        <w:jc w:val="left"/>
        <w:rPr>
          <w:rFonts w:cs="仿宋p."/>
          <w:color w:val="000000" w:themeColor="text1"/>
        </w:rPr>
      </w:pPr>
      <w:r>
        <w:rPr>
          <w:rFonts w:hint="eastAsia" w:cs="仿宋p."/>
          <w:color w:val="000000" w:themeColor="text1"/>
        </w:rPr>
        <w:t>根据上位规划，滨江新城片区通过利用临江景观优势，着力</w:t>
      </w:r>
      <w:r>
        <w:rPr>
          <w:rFonts w:cs="仿宋p."/>
          <w:color w:val="000000" w:themeColor="text1"/>
        </w:rPr>
        <w:t>优化和强化滨江特色，营造独特的水-城互动格局</w:t>
      </w:r>
      <w:r>
        <w:rPr>
          <w:rFonts w:hint="eastAsia" w:cs="仿宋p."/>
          <w:color w:val="000000" w:themeColor="text1"/>
        </w:rPr>
        <w:t>，</w:t>
      </w:r>
      <w:r>
        <w:rPr>
          <w:rFonts w:cs="仿宋p."/>
          <w:color w:val="000000" w:themeColor="text1"/>
        </w:rPr>
        <w:t>良性循环，优化城市空间品质，提升地区价值</w:t>
      </w:r>
      <w:r>
        <w:rPr>
          <w:rFonts w:hint="eastAsia" w:cs="仿宋p."/>
          <w:color w:val="000000" w:themeColor="text1"/>
        </w:rPr>
        <w:t>。本次成片区开发范围内专注于滨江新城三期（冯村、南渡村）建设，依托良好的滨江生态环境，顺应地区高标准建设，打造城市生态活力区</w:t>
      </w:r>
      <w:r>
        <w:rPr>
          <w:rFonts w:cs="仿宋p."/>
          <w:color w:val="000000" w:themeColor="text1"/>
        </w:rPr>
        <w:t>和</w:t>
      </w:r>
      <w:r>
        <w:rPr>
          <w:rFonts w:hint="eastAsia" w:cs="仿宋p."/>
          <w:color w:val="000000" w:themeColor="text1"/>
        </w:rPr>
        <w:t>滨江门户形象展示地。</w:t>
      </w:r>
    </w:p>
    <w:p>
      <w:pPr>
        <w:autoSpaceDE w:val="0"/>
        <w:autoSpaceDN w:val="0"/>
        <w:adjustRightInd w:val="0"/>
        <w:spacing w:before="120" w:after="120"/>
        <w:jc w:val="left"/>
        <w:rPr>
          <w:rFonts w:cs="仿宋p."/>
          <w:color w:val="000000" w:themeColor="text1"/>
        </w:rPr>
      </w:pPr>
      <w:r>
        <w:rPr>
          <w:rFonts w:hint="eastAsia" w:cs="仿宋p."/>
          <w:color w:val="000000" w:themeColor="text1"/>
        </w:rPr>
        <w:drawing>
          <wp:anchor distT="0" distB="0" distL="114300" distR="114300" simplePos="0" relativeHeight="251663360" behindDoc="0" locked="0" layoutInCell="1" allowOverlap="1">
            <wp:simplePos x="0" y="0"/>
            <wp:positionH relativeFrom="column">
              <wp:posOffset>29845</wp:posOffset>
            </wp:positionH>
            <wp:positionV relativeFrom="paragraph">
              <wp:posOffset>1833880</wp:posOffset>
            </wp:positionV>
            <wp:extent cx="5507990" cy="4203065"/>
            <wp:effectExtent l="1905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07990" cy="4203065"/>
                    </a:xfrm>
                    <a:prstGeom prst="rect">
                      <a:avLst/>
                    </a:prstGeom>
                  </pic:spPr>
                </pic:pic>
              </a:graphicData>
            </a:graphic>
          </wp:anchor>
        </w:drawing>
      </w:r>
      <w:r>
        <w:rPr>
          <w:rFonts w:hint="eastAsia" w:cs="仿宋p."/>
          <w:color w:val="000000" w:themeColor="text1"/>
        </w:rPr>
        <w:t>依据</w:t>
      </w:r>
      <w:r>
        <w:rPr>
          <w:rFonts w:cs="仿宋p."/>
          <w:color w:val="000000" w:themeColor="text1"/>
        </w:rPr>
        <w:t>国土三调数据，现状地类情况：成片开发范围51.4734公顷，其中建设用地27.2499公顷</w:t>
      </w:r>
      <w:r>
        <w:rPr>
          <w:rFonts w:hint="eastAsia" w:cs="仿宋p."/>
          <w:color w:val="000000" w:themeColor="text1"/>
        </w:rPr>
        <w:t>、</w:t>
      </w:r>
      <w:r>
        <w:rPr>
          <w:rFonts w:cs="仿宋p."/>
          <w:color w:val="000000" w:themeColor="text1"/>
        </w:rPr>
        <w:t>非建设用地24.2236公顷。建设用地主要为</w:t>
      </w:r>
      <w:r>
        <w:rPr>
          <w:rFonts w:hint="eastAsia" w:cs="仿宋p."/>
          <w:color w:val="000000" w:themeColor="text1"/>
        </w:rPr>
        <w:t>二类城镇住宅用地、农村宅基地</w:t>
      </w:r>
      <w:r>
        <w:rPr>
          <w:rFonts w:cs="仿宋p."/>
          <w:color w:val="000000" w:themeColor="text1"/>
        </w:rPr>
        <w:t>、</w:t>
      </w:r>
      <w:r>
        <w:rPr>
          <w:rFonts w:hint="eastAsia" w:cs="仿宋p."/>
          <w:color w:val="000000" w:themeColor="text1"/>
        </w:rPr>
        <w:t>文化/教育混合用地、一类工业用地、城镇村</w:t>
      </w:r>
      <w:r>
        <w:rPr>
          <w:rFonts w:cs="仿宋p."/>
          <w:color w:val="000000" w:themeColor="text1"/>
        </w:rPr>
        <w:t>道路用地等，</w:t>
      </w:r>
      <w:r>
        <w:rPr>
          <w:rFonts w:hint="eastAsia" w:cs="仿宋p."/>
          <w:color w:val="000000" w:themeColor="text1"/>
        </w:rPr>
        <w:t>农村宅基地集中</w:t>
      </w:r>
      <w:r>
        <w:rPr>
          <w:rFonts w:cs="仿宋p."/>
          <w:color w:val="000000" w:themeColor="text1"/>
        </w:rPr>
        <w:t>位于项目</w:t>
      </w:r>
      <w:r>
        <w:rPr>
          <w:rFonts w:hint="eastAsia" w:cs="仿宋p."/>
          <w:color w:val="000000" w:themeColor="text1"/>
        </w:rPr>
        <w:t>北侧和南侧</w:t>
      </w:r>
      <w:r>
        <w:rPr>
          <w:rFonts w:cs="仿宋p."/>
          <w:color w:val="000000" w:themeColor="text1"/>
        </w:rPr>
        <w:t>，非建设用地以</w:t>
      </w:r>
      <w:r>
        <w:rPr>
          <w:rFonts w:hint="eastAsia" w:cs="仿宋p."/>
          <w:color w:val="000000" w:themeColor="text1"/>
        </w:rPr>
        <w:t>耕地</w:t>
      </w:r>
      <w:r>
        <w:rPr>
          <w:rFonts w:cs="仿宋p."/>
          <w:color w:val="000000" w:themeColor="text1"/>
        </w:rPr>
        <w:t>为主</w:t>
      </w:r>
      <w:r>
        <w:rPr>
          <w:rFonts w:hint="eastAsia" w:cs="仿宋p."/>
          <w:color w:val="000000" w:themeColor="text1"/>
        </w:rPr>
        <w:t>，</w:t>
      </w:r>
      <w:r>
        <w:rPr>
          <w:rFonts w:cs="仿宋p."/>
          <w:color w:val="000000" w:themeColor="text1"/>
        </w:rPr>
        <w:t>主要分布在项目</w:t>
      </w:r>
      <w:r>
        <w:rPr>
          <w:rFonts w:hint="eastAsia" w:cs="仿宋p."/>
          <w:color w:val="000000" w:themeColor="text1"/>
        </w:rPr>
        <w:t>西侧和东侧。</w:t>
      </w: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widowControl/>
        <w:spacing w:before="120" w:after="120"/>
        <w:ind w:firstLine="0" w:firstLineChars="0"/>
        <w:jc w:val="center"/>
        <w:rPr>
          <w:color w:val="000000" w:themeColor="text1"/>
          <w:sz w:val="24"/>
          <w:szCs w:val="24"/>
        </w:rPr>
      </w:pPr>
    </w:p>
    <w:p>
      <w:pPr>
        <w:spacing w:before="120" w:after="120"/>
        <w:ind w:firstLine="0" w:firstLineChars="0"/>
        <w:jc w:val="center"/>
        <w:rPr>
          <w:color w:val="000000" w:themeColor="text1"/>
          <w:sz w:val="24"/>
          <w:szCs w:val="24"/>
        </w:rPr>
      </w:pPr>
      <w:r>
        <w:rPr>
          <w:color w:val="000000" w:themeColor="text1"/>
          <w:sz w:val="24"/>
          <w:szCs w:val="24"/>
        </w:rPr>
        <w:t>图</w:t>
      </w:r>
      <w:r>
        <w:rPr>
          <w:rFonts w:hint="eastAsia"/>
          <w:color w:val="000000" w:themeColor="text1"/>
          <w:sz w:val="24"/>
          <w:szCs w:val="24"/>
        </w:rPr>
        <w:t>2</w:t>
      </w:r>
      <w:r>
        <w:rPr>
          <w:color w:val="000000" w:themeColor="text1"/>
          <w:sz w:val="24"/>
          <w:szCs w:val="24"/>
        </w:rPr>
        <w:t>现状土地利用图</w:t>
      </w:r>
    </w:p>
    <w:p>
      <w:pPr>
        <w:autoSpaceDE w:val="0"/>
        <w:autoSpaceDN w:val="0"/>
        <w:adjustRightInd w:val="0"/>
        <w:spacing w:before="120" w:after="120"/>
        <w:rPr>
          <w:rFonts w:cs="仿宋p."/>
          <w:b/>
          <w:color w:val="000000" w:themeColor="text1"/>
        </w:rPr>
      </w:pPr>
      <w:r>
        <w:rPr>
          <w:rFonts w:hint="eastAsia" w:cs="仿宋p."/>
          <w:color w:val="000000" w:themeColor="text1"/>
        </w:rPr>
        <w:drawing>
          <wp:anchor distT="0" distB="0" distL="114300" distR="114300" simplePos="0" relativeHeight="251661312" behindDoc="0" locked="0" layoutInCell="1" allowOverlap="1">
            <wp:simplePos x="0" y="0"/>
            <wp:positionH relativeFrom="column">
              <wp:posOffset>302895</wp:posOffset>
            </wp:positionH>
            <wp:positionV relativeFrom="paragraph">
              <wp:posOffset>1450340</wp:posOffset>
            </wp:positionV>
            <wp:extent cx="4839335" cy="3764915"/>
            <wp:effectExtent l="1905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39553" cy="3765226"/>
                    </a:xfrm>
                    <a:prstGeom prst="rect">
                      <a:avLst/>
                    </a:prstGeom>
                  </pic:spPr>
                </pic:pic>
              </a:graphicData>
            </a:graphic>
          </wp:anchor>
        </w:drawing>
      </w:r>
      <w:r>
        <w:rPr>
          <w:rFonts w:hint="eastAsia" w:cs="仿宋p."/>
          <w:color w:val="000000" w:themeColor="text1"/>
        </w:rPr>
        <w:t>根据《海口市国土空间总体规划》“三区三线划定成果”，经套合分析，本次征收成片开发范围面积</w:t>
      </w:r>
      <w:r>
        <w:rPr>
          <w:rFonts w:cs="仿宋p."/>
        </w:rPr>
        <w:t>51.4734</w:t>
      </w:r>
      <w:r>
        <w:rPr>
          <w:rFonts w:hint="eastAsia" w:cs="仿宋p."/>
          <w:color w:val="000000" w:themeColor="text1"/>
        </w:rPr>
        <w:t>公顷，均位于城镇开发边界内，</w:t>
      </w:r>
      <w:r>
        <w:rPr>
          <w:rFonts w:hint="eastAsia" w:cs="仿宋p."/>
          <w:b/>
          <w:color w:val="000000" w:themeColor="text1"/>
        </w:rPr>
        <w:t>不含空白未知土地，不涉及生态保护红线，不涉及永久基本农田保护图斑。</w:t>
      </w:r>
    </w:p>
    <w:p>
      <w:pPr>
        <w:autoSpaceDE w:val="0"/>
        <w:autoSpaceDN w:val="0"/>
        <w:adjustRightInd w:val="0"/>
        <w:spacing w:before="120" w:after="120"/>
        <w:ind w:firstLine="562"/>
        <w:rPr>
          <w:rFonts w:cs="仿宋p."/>
          <w:b/>
          <w:color w:val="000000" w:themeColor="text1"/>
        </w:rPr>
      </w:pPr>
    </w:p>
    <w:p>
      <w:pPr>
        <w:autoSpaceDE w:val="0"/>
        <w:autoSpaceDN w:val="0"/>
        <w:adjustRightInd w:val="0"/>
        <w:spacing w:before="120" w:after="120"/>
        <w:ind w:firstLine="562"/>
        <w:rPr>
          <w:rFonts w:cs="仿宋p."/>
          <w:b/>
          <w:color w:val="000000" w:themeColor="text1"/>
        </w:rPr>
      </w:pPr>
    </w:p>
    <w:p>
      <w:pPr>
        <w:autoSpaceDE w:val="0"/>
        <w:autoSpaceDN w:val="0"/>
        <w:adjustRightInd w:val="0"/>
        <w:spacing w:before="120" w:after="120"/>
        <w:ind w:firstLine="562"/>
        <w:rPr>
          <w:rFonts w:cs="仿宋p."/>
          <w:b/>
          <w:color w:val="000000" w:themeColor="text1"/>
        </w:rPr>
      </w:pPr>
    </w:p>
    <w:p>
      <w:pPr>
        <w:autoSpaceDE w:val="0"/>
        <w:autoSpaceDN w:val="0"/>
        <w:adjustRightInd w:val="0"/>
        <w:spacing w:before="120" w:after="120"/>
        <w:ind w:firstLine="562"/>
        <w:rPr>
          <w:rFonts w:cs="仿宋p."/>
          <w:b/>
          <w:color w:val="000000" w:themeColor="text1"/>
        </w:rPr>
      </w:pPr>
    </w:p>
    <w:p>
      <w:pPr>
        <w:autoSpaceDE w:val="0"/>
        <w:autoSpaceDN w:val="0"/>
        <w:adjustRightInd w:val="0"/>
        <w:spacing w:before="120" w:after="120"/>
        <w:ind w:firstLine="562"/>
        <w:rPr>
          <w:rFonts w:cs="仿宋p."/>
          <w:b/>
          <w:color w:val="000000" w:themeColor="text1"/>
        </w:rPr>
      </w:pPr>
    </w:p>
    <w:p>
      <w:pPr>
        <w:autoSpaceDE w:val="0"/>
        <w:autoSpaceDN w:val="0"/>
        <w:adjustRightInd w:val="0"/>
        <w:spacing w:before="120" w:after="120"/>
        <w:ind w:firstLine="562"/>
        <w:rPr>
          <w:rFonts w:cs="仿宋p."/>
          <w:b/>
          <w:color w:val="000000" w:themeColor="text1"/>
        </w:rPr>
      </w:pPr>
    </w:p>
    <w:p>
      <w:pPr>
        <w:autoSpaceDE w:val="0"/>
        <w:autoSpaceDN w:val="0"/>
        <w:adjustRightInd w:val="0"/>
        <w:spacing w:before="120" w:after="120"/>
        <w:ind w:firstLine="562"/>
        <w:rPr>
          <w:rFonts w:cs="仿宋p."/>
          <w:b/>
          <w:color w:val="000000" w:themeColor="text1"/>
        </w:rPr>
      </w:pPr>
    </w:p>
    <w:p>
      <w:pPr>
        <w:autoSpaceDE w:val="0"/>
        <w:autoSpaceDN w:val="0"/>
        <w:adjustRightInd w:val="0"/>
        <w:spacing w:before="120" w:after="120"/>
        <w:ind w:firstLine="562"/>
        <w:rPr>
          <w:rFonts w:cs="仿宋p."/>
          <w:b/>
          <w:color w:val="000000" w:themeColor="text1"/>
        </w:rPr>
      </w:pPr>
    </w:p>
    <w:p>
      <w:pPr>
        <w:spacing w:before="120" w:after="120" w:line="400" w:lineRule="exact"/>
        <w:ind w:firstLine="0" w:firstLineChars="0"/>
        <w:jc w:val="center"/>
        <w:rPr>
          <w:color w:val="000000" w:themeColor="text1"/>
          <w:sz w:val="24"/>
          <w:szCs w:val="24"/>
        </w:rPr>
      </w:pPr>
    </w:p>
    <w:p>
      <w:pPr>
        <w:spacing w:before="120" w:after="120" w:line="400" w:lineRule="exact"/>
        <w:ind w:firstLine="0" w:firstLineChars="0"/>
        <w:jc w:val="center"/>
        <w:rPr>
          <w:color w:val="000000" w:themeColor="text1"/>
          <w:sz w:val="24"/>
          <w:szCs w:val="24"/>
        </w:rPr>
      </w:pPr>
      <w:r>
        <w:rPr>
          <w:rFonts w:hint="eastAsia"/>
          <w:color w:val="000000" w:themeColor="text1"/>
          <w:sz w:val="24"/>
          <w:szCs w:val="24"/>
        </w:rPr>
        <w:t>图3成片开发区域总规图</w:t>
      </w:r>
    </w:p>
    <w:p>
      <w:pPr>
        <w:autoSpaceDE w:val="0"/>
        <w:autoSpaceDN w:val="0"/>
        <w:adjustRightInd w:val="0"/>
        <w:spacing w:before="120" w:after="120"/>
        <w:rPr>
          <w:rFonts w:cs="仿宋p."/>
          <w:color w:val="000000" w:themeColor="text1"/>
        </w:rPr>
      </w:pPr>
      <w:r>
        <w:rPr>
          <w:rFonts w:cs="仿宋p."/>
          <w:color w:val="000000" w:themeColor="text1"/>
        </w:rPr>
        <w:t>成片开发范围面积51.4734公顷，其中国有土地</w:t>
      </w:r>
      <w:r>
        <w:rPr>
          <w:rFonts w:cs="宋体"/>
          <w:color w:val="000000" w:themeColor="text1"/>
        </w:rPr>
        <w:t>7.0020</w:t>
      </w:r>
      <w:r>
        <w:rPr>
          <w:rFonts w:cs="仿宋p."/>
          <w:color w:val="000000" w:themeColor="text1"/>
        </w:rPr>
        <w:t>公顷，集体土地</w:t>
      </w:r>
      <w:r>
        <w:rPr>
          <w:rFonts w:cs="宋体"/>
          <w:color w:val="000000" w:themeColor="text1"/>
        </w:rPr>
        <w:t>44.4714</w:t>
      </w:r>
      <w:r>
        <w:rPr>
          <w:rFonts w:cs="仿宋p."/>
          <w:color w:val="000000" w:themeColor="text1"/>
        </w:rPr>
        <w:t>公顷，国有土地、集体土地的比例</w:t>
      </w:r>
      <w:r>
        <w:rPr>
          <w:rFonts w:hint="eastAsia" w:cs="仿宋p."/>
          <w:color w:val="000000" w:themeColor="text1"/>
        </w:rPr>
        <w:t>约</w:t>
      </w:r>
      <w:r>
        <w:rPr>
          <w:rFonts w:cs="仿宋p."/>
          <w:color w:val="000000" w:themeColor="text1"/>
        </w:rPr>
        <w:t>为14</w:t>
      </w:r>
      <w:r>
        <w:rPr>
          <w:rFonts w:hint="eastAsia" w:cs="仿宋p."/>
          <w:color w:val="000000" w:themeColor="text1"/>
        </w:rPr>
        <w:t>:</w:t>
      </w:r>
      <w:r>
        <w:rPr>
          <w:rFonts w:cs="仿宋p."/>
          <w:color w:val="000000" w:themeColor="text1"/>
        </w:rPr>
        <w:t>86。国有土地可分为储备地、</w:t>
      </w:r>
      <w:r>
        <w:rPr>
          <w:rFonts w:hint="eastAsia" w:cs="仿宋p."/>
          <w:color w:val="000000" w:themeColor="text1"/>
        </w:rPr>
        <w:t>国有建设用地</w:t>
      </w:r>
      <w:r>
        <w:rPr>
          <w:rFonts w:cs="仿宋p."/>
          <w:color w:val="000000" w:themeColor="text1"/>
        </w:rPr>
        <w:t>两类，其中储备地</w:t>
      </w:r>
      <w:r>
        <w:rPr>
          <w:rFonts w:cs="宋体"/>
          <w:color w:val="000000" w:themeColor="text1"/>
        </w:rPr>
        <w:t>2.5953</w:t>
      </w:r>
      <w:r>
        <w:rPr>
          <w:rFonts w:cs="仿宋p."/>
          <w:color w:val="000000" w:themeColor="text1"/>
        </w:rPr>
        <w:t>公顷，</w:t>
      </w:r>
      <w:r>
        <w:rPr>
          <w:rFonts w:hint="eastAsia" w:cs="仿宋p."/>
          <w:color w:val="000000" w:themeColor="text1"/>
        </w:rPr>
        <w:t>国有建设用地</w:t>
      </w:r>
      <w:r>
        <w:rPr>
          <w:rFonts w:cs="仿宋p."/>
          <w:color w:val="000000" w:themeColor="text1"/>
        </w:rPr>
        <w:t>4.4067公顷</w:t>
      </w:r>
      <w:r>
        <w:rPr>
          <w:rFonts w:hint="eastAsia" w:cs="仿宋p."/>
          <w:color w:val="000000" w:themeColor="text1"/>
        </w:rPr>
        <w:t>；集体土地涉及经济合作社和街道集体用地两类，其中涉及海口市府城镇南渡经济合作社、海口市府城镇冯村经济合作社等的集体用地面积合计为</w:t>
      </w:r>
      <w:r>
        <w:rPr>
          <w:rFonts w:cs="仿宋p."/>
          <w:color w:val="000000" w:themeColor="text1"/>
        </w:rPr>
        <w:t>44.4714</w:t>
      </w:r>
      <w:r>
        <w:rPr>
          <w:rFonts w:hint="eastAsia" w:cs="仿宋p."/>
          <w:color w:val="000000" w:themeColor="text1"/>
        </w:rPr>
        <w:t>公顷。</w:t>
      </w:r>
    </w:p>
    <w:p>
      <w:pPr>
        <w:autoSpaceDE w:val="0"/>
        <w:autoSpaceDN w:val="0"/>
        <w:adjustRightInd w:val="0"/>
        <w:spacing w:before="120" w:after="120"/>
        <w:rPr>
          <w:rFonts w:cs="仿宋p."/>
          <w:color w:val="000000" w:themeColor="text1"/>
        </w:rPr>
      </w:pPr>
      <w:r>
        <w:rPr>
          <w:rFonts w:hint="eastAsia" w:cs="仿宋p."/>
          <w:color w:val="000000" w:themeColor="text1"/>
        </w:rPr>
        <w:t>成片开发范围面积共</w:t>
      </w:r>
      <w:r>
        <w:rPr>
          <w:rFonts w:cs="仿宋p."/>
          <w:color w:val="000000" w:themeColor="text1"/>
        </w:rPr>
        <w:t>51.4734</w:t>
      </w:r>
      <w:r>
        <w:rPr>
          <w:rFonts w:hint="eastAsia" w:cs="仿宋p."/>
          <w:color w:val="000000" w:themeColor="text1"/>
        </w:rPr>
        <w:t>公顷</w:t>
      </w:r>
      <w:r>
        <w:rPr>
          <w:rFonts w:cs="仿宋p."/>
          <w:color w:val="000000" w:themeColor="text1"/>
        </w:rPr>
        <w:t>，其中控规规划城市建设用地</w:t>
      </w:r>
      <w:r>
        <w:rPr>
          <w:rFonts w:hint="eastAsia" w:cs="仿宋p."/>
          <w:color w:val="000000" w:themeColor="text1"/>
        </w:rPr>
        <w:t>4</w:t>
      </w:r>
      <w:r>
        <w:rPr>
          <w:rFonts w:cs="仿宋p."/>
          <w:color w:val="000000" w:themeColor="text1"/>
        </w:rPr>
        <w:t>9.2432公顷。城市建设用地包括</w:t>
      </w:r>
      <w:r>
        <w:rPr>
          <w:rFonts w:hint="eastAsia" w:cs="仿宋p."/>
          <w:color w:val="000000" w:themeColor="text1"/>
        </w:rPr>
        <w:t>商务金融用地、城镇住宅/商业</w:t>
      </w:r>
      <w:r>
        <w:rPr>
          <w:rFonts w:cs="仿宋p."/>
          <w:color w:val="000000" w:themeColor="text1"/>
        </w:rPr>
        <w:t>混合用地、</w:t>
      </w:r>
      <w:r>
        <w:rPr>
          <w:rFonts w:hint="eastAsia" w:cs="仿宋p."/>
          <w:color w:val="000000" w:themeColor="text1"/>
        </w:rPr>
        <w:t>中小学用地、商业用地、城镇村道路用地、绿地与开敞空间用地等</w:t>
      </w:r>
      <w:r>
        <w:rPr>
          <w:rFonts w:cs="仿宋p."/>
          <w:color w:val="000000" w:themeColor="text1"/>
        </w:rPr>
        <w:t>。各类用地中，公共管理与公共服务用地、</w:t>
      </w:r>
      <w:r>
        <w:rPr>
          <w:rFonts w:hint="eastAsia" w:cs="仿宋p."/>
          <w:color w:val="000000" w:themeColor="text1"/>
        </w:rPr>
        <w:t>绿地与开敞空间用地、城镇村道路用地</w:t>
      </w:r>
      <w:r>
        <w:rPr>
          <w:rFonts w:cs="仿宋p."/>
          <w:color w:val="000000" w:themeColor="text1"/>
        </w:rPr>
        <w:t>等</w:t>
      </w:r>
      <w:r>
        <w:rPr>
          <w:rFonts w:hint="eastAsia" w:cs="仿宋p."/>
          <w:color w:val="000000" w:themeColor="text1"/>
        </w:rPr>
        <w:t>公益性用地面积合计</w:t>
      </w:r>
      <w:r>
        <w:rPr>
          <w:rFonts w:cs="仿宋p."/>
          <w:color w:val="000000" w:themeColor="text1"/>
        </w:rPr>
        <w:t>29.6739公顷，占成片开发范围比57.65%。</w:t>
      </w:r>
    </w:p>
    <w:p>
      <w:pPr>
        <w:autoSpaceDE w:val="0"/>
        <w:autoSpaceDN w:val="0"/>
        <w:adjustRightInd w:val="0"/>
        <w:spacing w:before="120" w:after="120"/>
        <w:rPr>
          <w:rFonts w:cs="仿宋p."/>
          <w:color w:val="000000" w:themeColor="text1"/>
        </w:rPr>
      </w:pPr>
      <w:r>
        <w:rPr>
          <w:rFonts w:cs="仿宋p."/>
          <w:color w:val="000000" w:themeColor="text1"/>
        </w:rPr>
        <w:drawing>
          <wp:anchor distT="0" distB="0" distL="114300" distR="114300" simplePos="0" relativeHeight="251662336" behindDoc="0" locked="0" layoutInCell="1" allowOverlap="1">
            <wp:simplePos x="0" y="0"/>
            <wp:positionH relativeFrom="column">
              <wp:posOffset>30480</wp:posOffset>
            </wp:positionH>
            <wp:positionV relativeFrom="paragraph">
              <wp:posOffset>19685</wp:posOffset>
            </wp:positionV>
            <wp:extent cx="5492115" cy="5131435"/>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extLst>
                        <a:ext uri="{28A0092B-C50C-407E-A947-70E740481C1C}">
                          <a14:useLocalDpi xmlns:a14="http://schemas.microsoft.com/office/drawing/2010/main" val="0"/>
                        </a:ext>
                      </a:extLst>
                    </a:blip>
                    <a:srcRect l="10788" r="9388"/>
                    <a:stretch>
                      <a:fillRect/>
                    </a:stretch>
                  </pic:blipFill>
                  <pic:spPr>
                    <a:xfrm>
                      <a:off x="0" y="0"/>
                      <a:ext cx="5489193" cy="5129106"/>
                    </a:xfrm>
                    <a:prstGeom prst="rect">
                      <a:avLst/>
                    </a:prstGeom>
                    <a:ln>
                      <a:noFill/>
                    </a:ln>
                  </pic:spPr>
                </pic:pic>
              </a:graphicData>
            </a:graphic>
          </wp:anchor>
        </w:drawing>
      </w: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rPr>
          <w:rFonts w:cs="仿宋p."/>
          <w:color w:val="000000" w:themeColor="text1"/>
        </w:rPr>
      </w:pPr>
    </w:p>
    <w:p>
      <w:pPr>
        <w:autoSpaceDE w:val="0"/>
        <w:autoSpaceDN w:val="0"/>
        <w:adjustRightInd w:val="0"/>
        <w:spacing w:before="120" w:after="120"/>
        <w:ind w:firstLine="0" w:firstLineChars="0"/>
        <w:jc w:val="center"/>
        <w:rPr>
          <w:color w:val="000000" w:themeColor="text1"/>
          <w:sz w:val="24"/>
          <w:szCs w:val="24"/>
        </w:rPr>
      </w:pPr>
      <w:r>
        <w:rPr>
          <w:rFonts w:hint="eastAsia"/>
          <w:color w:val="000000" w:themeColor="text1"/>
          <w:sz w:val="24"/>
          <w:szCs w:val="24"/>
        </w:rPr>
        <w:t>图4成</w:t>
      </w:r>
      <w:r>
        <w:rPr>
          <w:color w:val="000000" w:themeColor="text1"/>
          <w:sz w:val="24"/>
          <w:szCs w:val="24"/>
        </w:rPr>
        <w:t>片开发</w:t>
      </w:r>
      <w:r>
        <w:rPr>
          <w:rFonts w:hint="eastAsia"/>
          <w:color w:val="000000" w:themeColor="text1"/>
          <w:sz w:val="24"/>
          <w:szCs w:val="24"/>
        </w:rPr>
        <w:t>范围内控制性详细规划用地图</w:t>
      </w:r>
    </w:p>
    <w:p>
      <w:pPr>
        <w:spacing w:before="120" w:after="120"/>
      </w:pPr>
      <w:r>
        <w:t>根据《</w:t>
      </w:r>
      <w:r>
        <w:rPr>
          <w:rFonts w:hint="eastAsia" w:ascii="宋体" w:hAnsi="宋体"/>
          <w:szCs w:val="21"/>
        </w:rPr>
        <w:t>海口市滨江新城片区控制性详细规划（修编）及城市设计</w:t>
      </w:r>
      <w:r>
        <w:t>》，</w:t>
      </w:r>
      <w:r>
        <w:rPr>
          <w:rFonts w:hint="eastAsia"/>
        </w:rPr>
        <w:t>滨江新城片区总体定位为滨水文化宜居城，作为</w:t>
      </w:r>
      <w:r>
        <w:t>集行政、文化、体育设施于一体的</w:t>
      </w:r>
      <w:r>
        <w:rPr>
          <w:rFonts w:hint="eastAsia"/>
        </w:rPr>
        <w:t>省级公共文化设施集聚区</w:t>
      </w:r>
      <w:r>
        <w:t>，现代与传统文化交融的文旅休闲区，具有新时代经济模式的产业创新活力区，海口最具滨江特色和滨水活力的生态宜居之城</w:t>
      </w:r>
      <w:r>
        <w:rPr>
          <w:rFonts w:hint="eastAsia"/>
        </w:rPr>
        <w:t>。规划</w:t>
      </w:r>
      <w:r>
        <w:t>滨江新城片区与南渡江西岸片区共同构建“一岛、两带、三区、四片”的空间结构，其中滨江新城</w:t>
      </w:r>
      <w:r>
        <w:rPr>
          <w:rFonts w:hint="eastAsia"/>
        </w:rPr>
        <w:t>片区</w:t>
      </w:r>
      <w:r>
        <w:t>打造“一岛、两带、两区、三片”</w:t>
      </w:r>
      <w:r>
        <w:rPr>
          <w:rFonts w:hint="eastAsia"/>
        </w:rPr>
        <w:t>。</w:t>
      </w:r>
    </w:p>
    <w:p>
      <w:pPr>
        <w:autoSpaceDE w:val="0"/>
        <w:autoSpaceDN w:val="0"/>
        <w:adjustRightInd w:val="0"/>
        <w:spacing w:before="120" w:after="120"/>
        <w:jc w:val="left"/>
        <w:rPr>
          <w:rFonts w:cs="仿宋p."/>
          <w:color w:val="000000"/>
        </w:rPr>
      </w:pPr>
      <w:r>
        <w:rPr>
          <w:rFonts w:hint="eastAsia"/>
        </w:rPr>
        <w:t>滨江新城三期（冯村、南渡村）作为滨江新城重要组成部分，主要承载创智产业以及生态宜居等功能，应做好规划区在滨江新城功能的分工协作关系，保证土地规划的战略性和综合性，成片开发方案编制，一方面应当成为该区域土地征收的依据，另一方面应当与政府对城市建设开发的控制管理的计划与方式相结合，充分考虑实施的可能性和可行性。</w:t>
      </w:r>
    </w:p>
    <w:p>
      <w:pPr>
        <w:spacing w:before="120" w:after="120"/>
      </w:pPr>
      <w:r>
        <w:rPr>
          <w:rFonts w:cs="仿宋"/>
        </w:rPr>
        <w:t>本成片开发区域</w:t>
      </w:r>
      <w:r>
        <w:rPr>
          <w:rFonts w:hint="eastAsia" w:cs="仿宋"/>
        </w:rPr>
        <w:t>位于</w:t>
      </w:r>
      <w:r>
        <w:rPr>
          <w:rFonts w:cs="仿宋"/>
        </w:rPr>
        <w:t>南渡江西面</w:t>
      </w:r>
      <w:r>
        <w:rPr>
          <w:rFonts w:hint="eastAsia" w:cs="仿宋"/>
        </w:rPr>
        <w:t>，响水河围绕场地，生态</w:t>
      </w:r>
      <w:r>
        <w:rPr>
          <w:rFonts w:cs="仿宋"/>
        </w:rPr>
        <w:t>景观环境优越，</w:t>
      </w:r>
      <w:r>
        <w:rPr>
          <w:rFonts w:hint="eastAsia" w:cs="仿宋"/>
        </w:rPr>
        <w:t>与场地内发展无序、土地低效利用、环境脏乱差的风貌形成鲜明对比</w:t>
      </w:r>
      <w:r>
        <w:t>。传统的批次征地，由于主体多元、投资分散、发展时序不协同，多点</w:t>
      </w:r>
      <w:r>
        <w:rPr>
          <w:rFonts w:hint="eastAsia"/>
          <w:bCs/>
        </w:rPr>
        <w:t>开花、分散建设，导致了大量的插花式、碎片化的开发，建设用地的密实度低，用地项目布局不集中连片，导致基础设施投入过大，用地平均产出较低。</w:t>
      </w:r>
    </w:p>
    <w:p>
      <w:pPr>
        <w:spacing w:before="120" w:after="120"/>
      </w:pPr>
      <w:r>
        <w:rPr>
          <w:rFonts w:hint="eastAsia"/>
        </w:rPr>
        <w:t>因此，</w:t>
      </w:r>
      <w:r>
        <w:rPr>
          <w:bCs/>
        </w:rPr>
        <w:t>通过实施土地征收成片开发</w:t>
      </w:r>
      <w:r>
        <w:rPr>
          <w:rFonts w:hint="eastAsia"/>
          <w:bCs/>
        </w:rPr>
        <w:t>，</w:t>
      </w:r>
      <w:r>
        <w:rPr>
          <w:bCs/>
        </w:rPr>
        <w:t>扭转场地内发展无序</w:t>
      </w:r>
      <w:r>
        <w:rPr>
          <w:rFonts w:hint="eastAsia"/>
          <w:bCs/>
        </w:rPr>
        <w:t>、</w:t>
      </w:r>
      <w:r>
        <w:rPr>
          <w:bCs/>
        </w:rPr>
        <w:t>环境脏乱差等风貌</w:t>
      </w:r>
      <w:r>
        <w:rPr>
          <w:rFonts w:hint="eastAsia"/>
          <w:bCs/>
        </w:rPr>
        <w:t>，</w:t>
      </w:r>
      <w:r>
        <w:rPr>
          <w:bCs/>
        </w:rPr>
        <w:t>打造宜居宜业宜游的</w:t>
      </w:r>
      <w:r>
        <w:rPr>
          <w:rFonts w:hint="eastAsia"/>
          <w:bCs/>
        </w:rPr>
        <w:t>滨江城市</w:t>
      </w:r>
      <w:r>
        <w:rPr>
          <w:bCs/>
        </w:rPr>
        <w:t>风貌。</w:t>
      </w:r>
    </w:p>
    <w:sectPr>
      <w:footerReference r:id="rId11" w:type="default"/>
      <w:pgSz w:w="11906" w:h="16840"/>
      <w:pgMar w:top="1520" w:right="1560" w:bottom="1280" w:left="1680" w:header="0" w:footer="283"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p.">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jc w:val="center"/>
    </w:pPr>
    <w:r>
      <w:pict>
        <v:shape id="文本框 34"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FUYgIAAAw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UvOnLDo0f33b/d3P+9/fGXgAaDOxxn0rj00U/+aejR65Ecwc929DjZ/URGDHFBvdvCq&#10;PjGZjaYH0+kEIgnZ+AP/1YO5DzG9UWRZJmoe0L8Cq1hfxDSojio5mqPz1pjSQ+NYV/Ojw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WFMFU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sdt>
                <w:sdtPr>
                  <w:id w:val="-59648037"/>
                </w:sdtPr>
                <w:sdtContent>
                  <w:sdt>
                    <w:sdtPr>
                      <w:id w:val="1728636285"/>
                    </w:sdtPr>
                    <w:sdtContent>
                      <w:p>
                        <w:pPr>
                          <w:pStyle w:val="8"/>
                          <w:spacing w:before="120" w:after="120"/>
                          <w:ind w:firstLine="360"/>
                          <w:jc w:val="center"/>
                        </w:pP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w:t>
                        </w:r>
                        <w:r>
                          <w:rPr>
                            <w:b/>
                            <w:bCs/>
                            <w:sz w:val="24"/>
                            <w:szCs w:val="24"/>
                          </w:rPr>
                          <w:fldChar w:fldCharType="end"/>
                        </w:r>
                      </w:p>
                    </w:sdtContent>
                  </w:sdt>
                </w:sdtContent>
              </w:sdt>
              <w:p>
                <w:pPr>
                  <w:spacing w:before="120" w:after="120"/>
                </w:pPr>
              </w:p>
            </w:txbxContent>
          </v:textbox>
        </v:shape>
      </w:pict>
    </w:r>
  </w:p>
  <w:p>
    <w:pPr>
      <w:spacing w:before="120" w:after="120"/>
      <w:ind w:firstLine="40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560"/>
      </w:pPr>
      <w:r>
        <w:separator/>
      </w:r>
    </w:p>
  </w:footnote>
  <w:footnote w:type="continuationSeparator" w:id="1">
    <w:p>
      <w:pPr>
        <w:spacing w:before="0" w:after="0"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720"/>
  <w:drawingGridHorizontalSpacing w:val="110"/>
  <w:noPunctuationKerning w:val="1"/>
  <w:characterSpacingControl w:val="doNotCompress"/>
  <w:hdrShapeDefaults>
    <o:shapelayout v:ext="edit">
      <o:idmap v:ext="edit" data="4"/>
    </o:shapelayout>
  </w:hdrShapeDefaults>
  <w:footnotePr>
    <w:footnote w:id="0"/>
    <w:footnote w:id="1"/>
  </w:footnotePr>
  <w:endnotePr>
    <w:endnote w:id="0"/>
    <w:endnote w:id="1"/>
  </w:endnotePr>
  <w:compat>
    <w:ulTrailSpace/>
    <w:doNotExpandShiftReturn/>
    <w:useFELayout/>
    <w:compatSetting w:name="compatibilityMode" w:uri="http://schemas.microsoft.com/office/word" w:val="12"/>
  </w:compat>
  <w:docVars>
    <w:docVar w:name="commondata" w:val="eyJoZGlkIjoiMTE0MmU1MzEyNTlhMjdjNzc5MGI5NzdjODcwMzljNmEifQ=="/>
  </w:docVars>
  <w:rsids>
    <w:rsidRoot w:val="002D17B5"/>
    <w:rsid w:val="000044EC"/>
    <w:rsid w:val="00013578"/>
    <w:rsid w:val="000154F7"/>
    <w:rsid w:val="000165EA"/>
    <w:rsid w:val="00021CF1"/>
    <w:rsid w:val="000339AB"/>
    <w:rsid w:val="00037338"/>
    <w:rsid w:val="00047B0F"/>
    <w:rsid w:val="000520EB"/>
    <w:rsid w:val="00052BC7"/>
    <w:rsid w:val="00070C3B"/>
    <w:rsid w:val="00093DEA"/>
    <w:rsid w:val="000A0341"/>
    <w:rsid w:val="000A1EB5"/>
    <w:rsid w:val="000B01E8"/>
    <w:rsid w:val="000B7E7E"/>
    <w:rsid w:val="000C55FE"/>
    <w:rsid w:val="000D1D62"/>
    <w:rsid w:val="000D5E3A"/>
    <w:rsid w:val="000D5F02"/>
    <w:rsid w:val="00102365"/>
    <w:rsid w:val="00144AC7"/>
    <w:rsid w:val="00144FAC"/>
    <w:rsid w:val="001563FB"/>
    <w:rsid w:val="00165502"/>
    <w:rsid w:val="00171F71"/>
    <w:rsid w:val="0017275F"/>
    <w:rsid w:val="00183200"/>
    <w:rsid w:val="00184D9C"/>
    <w:rsid w:val="00185198"/>
    <w:rsid w:val="0018719C"/>
    <w:rsid w:val="00190601"/>
    <w:rsid w:val="00190A16"/>
    <w:rsid w:val="001A15D4"/>
    <w:rsid w:val="001A3A3A"/>
    <w:rsid w:val="001A7635"/>
    <w:rsid w:val="001B4EC2"/>
    <w:rsid w:val="001B5272"/>
    <w:rsid w:val="001D14AC"/>
    <w:rsid w:val="001E2DC9"/>
    <w:rsid w:val="001E3B21"/>
    <w:rsid w:val="001E4DF1"/>
    <w:rsid w:val="00207312"/>
    <w:rsid w:val="00213B8F"/>
    <w:rsid w:val="00220988"/>
    <w:rsid w:val="00220AD8"/>
    <w:rsid w:val="00235EC4"/>
    <w:rsid w:val="00236970"/>
    <w:rsid w:val="00242879"/>
    <w:rsid w:val="0025543E"/>
    <w:rsid w:val="002555AA"/>
    <w:rsid w:val="00280135"/>
    <w:rsid w:val="002810A2"/>
    <w:rsid w:val="002924E0"/>
    <w:rsid w:val="00296881"/>
    <w:rsid w:val="002A5193"/>
    <w:rsid w:val="002A531D"/>
    <w:rsid w:val="002B3062"/>
    <w:rsid w:val="002B51F5"/>
    <w:rsid w:val="002C2346"/>
    <w:rsid w:val="002D17B5"/>
    <w:rsid w:val="002F0B16"/>
    <w:rsid w:val="002F4929"/>
    <w:rsid w:val="002F7B15"/>
    <w:rsid w:val="00302207"/>
    <w:rsid w:val="0031673C"/>
    <w:rsid w:val="00326B17"/>
    <w:rsid w:val="003331A8"/>
    <w:rsid w:val="00335EDC"/>
    <w:rsid w:val="00356F3F"/>
    <w:rsid w:val="00367B44"/>
    <w:rsid w:val="00371981"/>
    <w:rsid w:val="00393716"/>
    <w:rsid w:val="00397FA0"/>
    <w:rsid w:val="003C135C"/>
    <w:rsid w:val="003C1ABD"/>
    <w:rsid w:val="003C1D6A"/>
    <w:rsid w:val="003D2E40"/>
    <w:rsid w:val="003E0D98"/>
    <w:rsid w:val="003F613C"/>
    <w:rsid w:val="00403CB5"/>
    <w:rsid w:val="00410FD2"/>
    <w:rsid w:val="00430B57"/>
    <w:rsid w:val="00436CFD"/>
    <w:rsid w:val="004439FA"/>
    <w:rsid w:val="00445998"/>
    <w:rsid w:val="004714D2"/>
    <w:rsid w:val="004729AA"/>
    <w:rsid w:val="004773C3"/>
    <w:rsid w:val="004816A8"/>
    <w:rsid w:val="00492C56"/>
    <w:rsid w:val="00495F2E"/>
    <w:rsid w:val="004B144B"/>
    <w:rsid w:val="004B2D00"/>
    <w:rsid w:val="004B31B5"/>
    <w:rsid w:val="004C3EA3"/>
    <w:rsid w:val="004D611B"/>
    <w:rsid w:val="004E05BE"/>
    <w:rsid w:val="004F1E84"/>
    <w:rsid w:val="00501E20"/>
    <w:rsid w:val="0050509D"/>
    <w:rsid w:val="00514080"/>
    <w:rsid w:val="00524407"/>
    <w:rsid w:val="00532488"/>
    <w:rsid w:val="0054095A"/>
    <w:rsid w:val="00544471"/>
    <w:rsid w:val="005478E3"/>
    <w:rsid w:val="00565A87"/>
    <w:rsid w:val="00584294"/>
    <w:rsid w:val="00587251"/>
    <w:rsid w:val="005936AE"/>
    <w:rsid w:val="005B265D"/>
    <w:rsid w:val="005F5F37"/>
    <w:rsid w:val="00601073"/>
    <w:rsid w:val="00605012"/>
    <w:rsid w:val="00606795"/>
    <w:rsid w:val="006248DE"/>
    <w:rsid w:val="0062490C"/>
    <w:rsid w:val="00625710"/>
    <w:rsid w:val="0062789F"/>
    <w:rsid w:val="006450FC"/>
    <w:rsid w:val="00660C60"/>
    <w:rsid w:val="006778BE"/>
    <w:rsid w:val="0068447E"/>
    <w:rsid w:val="006933B1"/>
    <w:rsid w:val="00694348"/>
    <w:rsid w:val="00695114"/>
    <w:rsid w:val="006B08B9"/>
    <w:rsid w:val="006B5CC2"/>
    <w:rsid w:val="006B7A22"/>
    <w:rsid w:val="006C2119"/>
    <w:rsid w:val="006D030A"/>
    <w:rsid w:val="006D1C98"/>
    <w:rsid w:val="006D7974"/>
    <w:rsid w:val="006E2263"/>
    <w:rsid w:val="006E7461"/>
    <w:rsid w:val="006F45AD"/>
    <w:rsid w:val="00701CF6"/>
    <w:rsid w:val="0070373E"/>
    <w:rsid w:val="00704289"/>
    <w:rsid w:val="00725554"/>
    <w:rsid w:val="007322DD"/>
    <w:rsid w:val="00754C1B"/>
    <w:rsid w:val="00754C4C"/>
    <w:rsid w:val="00762964"/>
    <w:rsid w:val="00765208"/>
    <w:rsid w:val="007710D4"/>
    <w:rsid w:val="00772AA7"/>
    <w:rsid w:val="00782AEF"/>
    <w:rsid w:val="007933D4"/>
    <w:rsid w:val="00796A25"/>
    <w:rsid w:val="007B6AA5"/>
    <w:rsid w:val="007C04D7"/>
    <w:rsid w:val="007D3A91"/>
    <w:rsid w:val="007D6D0D"/>
    <w:rsid w:val="007E781E"/>
    <w:rsid w:val="007F222D"/>
    <w:rsid w:val="007F4559"/>
    <w:rsid w:val="007F7504"/>
    <w:rsid w:val="00800D03"/>
    <w:rsid w:val="008023B5"/>
    <w:rsid w:val="0080705A"/>
    <w:rsid w:val="008146CC"/>
    <w:rsid w:val="00820DEC"/>
    <w:rsid w:val="00823524"/>
    <w:rsid w:val="00823BF4"/>
    <w:rsid w:val="008275DE"/>
    <w:rsid w:val="00840965"/>
    <w:rsid w:val="0084202C"/>
    <w:rsid w:val="008729BC"/>
    <w:rsid w:val="00882759"/>
    <w:rsid w:val="008868E0"/>
    <w:rsid w:val="00892C7B"/>
    <w:rsid w:val="00893584"/>
    <w:rsid w:val="0089503A"/>
    <w:rsid w:val="008976C6"/>
    <w:rsid w:val="008A11FF"/>
    <w:rsid w:val="008A5990"/>
    <w:rsid w:val="008A613E"/>
    <w:rsid w:val="008A6847"/>
    <w:rsid w:val="008B3ADE"/>
    <w:rsid w:val="008B584C"/>
    <w:rsid w:val="008C6B1D"/>
    <w:rsid w:val="008D01A7"/>
    <w:rsid w:val="008D1C50"/>
    <w:rsid w:val="008E73E1"/>
    <w:rsid w:val="008F15BD"/>
    <w:rsid w:val="008F6190"/>
    <w:rsid w:val="00900D62"/>
    <w:rsid w:val="00902869"/>
    <w:rsid w:val="00910048"/>
    <w:rsid w:val="00910AED"/>
    <w:rsid w:val="00913384"/>
    <w:rsid w:val="00915997"/>
    <w:rsid w:val="009179D2"/>
    <w:rsid w:val="00923F25"/>
    <w:rsid w:val="0092514C"/>
    <w:rsid w:val="0097370B"/>
    <w:rsid w:val="009771C8"/>
    <w:rsid w:val="00993619"/>
    <w:rsid w:val="00994A07"/>
    <w:rsid w:val="0099596D"/>
    <w:rsid w:val="00995E0A"/>
    <w:rsid w:val="009A2937"/>
    <w:rsid w:val="009B08BE"/>
    <w:rsid w:val="009B34BD"/>
    <w:rsid w:val="009B6AD4"/>
    <w:rsid w:val="009B6D68"/>
    <w:rsid w:val="009C6937"/>
    <w:rsid w:val="009E1D32"/>
    <w:rsid w:val="009E4B32"/>
    <w:rsid w:val="009E60A1"/>
    <w:rsid w:val="00A11C8A"/>
    <w:rsid w:val="00A34B43"/>
    <w:rsid w:val="00A4587F"/>
    <w:rsid w:val="00A56653"/>
    <w:rsid w:val="00A6038D"/>
    <w:rsid w:val="00A725C5"/>
    <w:rsid w:val="00AC2841"/>
    <w:rsid w:val="00AC55B7"/>
    <w:rsid w:val="00AD0290"/>
    <w:rsid w:val="00AD1AC2"/>
    <w:rsid w:val="00AD260B"/>
    <w:rsid w:val="00AE2815"/>
    <w:rsid w:val="00AF26F6"/>
    <w:rsid w:val="00B073FF"/>
    <w:rsid w:val="00B07B31"/>
    <w:rsid w:val="00B24A8E"/>
    <w:rsid w:val="00B30930"/>
    <w:rsid w:val="00B37BCE"/>
    <w:rsid w:val="00B41E99"/>
    <w:rsid w:val="00B4566A"/>
    <w:rsid w:val="00B47927"/>
    <w:rsid w:val="00B55B04"/>
    <w:rsid w:val="00B57D90"/>
    <w:rsid w:val="00B66CFF"/>
    <w:rsid w:val="00B959C7"/>
    <w:rsid w:val="00BA1890"/>
    <w:rsid w:val="00BB1E2C"/>
    <w:rsid w:val="00BC05CC"/>
    <w:rsid w:val="00BE650D"/>
    <w:rsid w:val="00BF7520"/>
    <w:rsid w:val="00C04CDF"/>
    <w:rsid w:val="00C1562F"/>
    <w:rsid w:val="00C2041B"/>
    <w:rsid w:val="00C27A01"/>
    <w:rsid w:val="00C50D6D"/>
    <w:rsid w:val="00C54680"/>
    <w:rsid w:val="00C5778D"/>
    <w:rsid w:val="00C65089"/>
    <w:rsid w:val="00C80627"/>
    <w:rsid w:val="00C910A4"/>
    <w:rsid w:val="00CA599D"/>
    <w:rsid w:val="00CA7B69"/>
    <w:rsid w:val="00CB0071"/>
    <w:rsid w:val="00CC189B"/>
    <w:rsid w:val="00CD7541"/>
    <w:rsid w:val="00CE548A"/>
    <w:rsid w:val="00D044DC"/>
    <w:rsid w:val="00D05582"/>
    <w:rsid w:val="00D22FBD"/>
    <w:rsid w:val="00D259A0"/>
    <w:rsid w:val="00D35126"/>
    <w:rsid w:val="00D41EC3"/>
    <w:rsid w:val="00D618EA"/>
    <w:rsid w:val="00D64986"/>
    <w:rsid w:val="00D65EAE"/>
    <w:rsid w:val="00D71DBF"/>
    <w:rsid w:val="00D80402"/>
    <w:rsid w:val="00D86C7B"/>
    <w:rsid w:val="00D919E4"/>
    <w:rsid w:val="00D91C8B"/>
    <w:rsid w:val="00DA25A0"/>
    <w:rsid w:val="00DA5A29"/>
    <w:rsid w:val="00DB68A5"/>
    <w:rsid w:val="00DB6C32"/>
    <w:rsid w:val="00DC1907"/>
    <w:rsid w:val="00DC3924"/>
    <w:rsid w:val="00DF0740"/>
    <w:rsid w:val="00DF07D8"/>
    <w:rsid w:val="00E11531"/>
    <w:rsid w:val="00E13DBB"/>
    <w:rsid w:val="00E15C85"/>
    <w:rsid w:val="00E21037"/>
    <w:rsid w:val="00E21A9F"/>
    <w:rsid w:val="00E26B7B"/>
    <w:rsid w:val="00E373B7"/>
    <w:rsid w:val="00E4661D"/>
    <w:rsid w:val="00E52DE1"/>
    <w:rsid w:val="00E53EBE"/>
    <w:rsid w:val="00E54BDF"/>
    <w:rsid w:val="00E647D0"/>
    <w:rsid w:val="00E7325F"/>
    <w:rsid w:val="00E7652A"/>
    <w:rsid w:val="00E86D77"/>
    <w:rsid w:val="00E87F8F"/>
    <w:rsid w:val="00E96612"/>
    <w:rsid w:val="00EA2663"/>
    <w:rsid w:val="00EA2C43"/>
    <w:rsid w:val="00EA4572"/>
    <w:rsid w:val="00EB1C0E"/>
    <w:rsid w:val="00EC119A"/>
    <w:rsid w:val="00EC1D81"/>
    <w:rsid w:val="00EC496F"/>
    <w:rsid w:val="00EC68EB"/>
    <w:rsid w:val="00ED4880"/>
    <w:rsid w:val="00EE0719"/>
    <w:rsid w:val="00EF2672"/>
    <w:rsid w:val="00F0124A"/>
    <w:rsid w:val="00F36418"/>
    <w:rsid w:val="00F43DD3"/>
    <w:rsid w:val="00F57814"/>
    <w:rsid w:val="00F80AC2"/>
    <w:rsid w:val="00FA7F34"/>
    <w:rsid w:val="00FB50B3"/>
    <w:rsid w:val="00FB67D8"/>
    <w:rsid w:val="00FB70AA"/>
    <w:rsid w:val="00FC7B8D"/>
    <w:rsid w:val="00FE5CCA"/>
    <w:rsid w:val="00FF272C"/>
    <w:rsid w:val="02903D7B"/>
    <w:rsid w:val="02936A01"/>
    <w:rsid w:val="090B363A"/>
    <w:rsid w:val="099E1F14"/>
    <w:rsid w:val="0A4F0106"/>
    <w:rsid w:val="0F390411"/>
    <w:rsid w:val="19280238"/>
    <w:rsid w:val="198C1D89"/>
    <w:rsid w:val="19BF7380"/>
    <w:rsid w:val="1B3721C8"/>
    <w:rsid w:val="1BEA2D97"/>
    <w:rsid w:val="1C470764"/>
    <w:rsid w:val="1FDB6FCA"/>
    <w:rsid w:val="217F399E"/>
    <w:rsid w:val="23EC2809"/>
    <w:rsid w:val="23F5677C"/>
    <w:rsid w:val="294070BC"/>
    <w:rsid w:val="29701317"/>
    <w:rsid w:val="29866D87"/>
    <w:rsid w:val="31E56082"/>
    <w:rsid w:val="324A4871"/>
    <w:rsid w:val="366E2AEA"/>
    <w:rsid w:val="3ACE06F0"/>
    <w:rsid w:val="3C4B6615"/>
    <w:rsid w:val="40036B63"/>
    <w:rsid w:val="416C5E78"/>
    <w:rsid w:val="429B4A19"/>
    <w:rsid w:val="465515D1"/>
    <w:rsid w:val="47262F6D"/>
    <w:rsid w:val="521D6901"/>
    <w:rsid w:val="524A3079"/>
    <w:rsid w:val="55740382"/>
    <w:rsid w:val="567F6E9F"/>
    <w:rsid w:val="5D323FC2"/>
    <w:rsid w:val="63C43FE9"/>
    <w:rsid w:val="66576D64"/>
    <w:rsid w:val="66854D92"/>
    <w:rsid w:val="689478DF"/>
    <w:rsid w:val="68CA200B"/>
    <w:rsid w:val="73C80D84"/>
    <w:rsid w:val="74843AE4"/>
    <w:rsid w:val="7A4B0019"/>
    <w:rsid w:val="7AEE5DA5"/>
    <w:rsid w:val="7D060D93"/>
    <w:rsid w:val="7D781125"/>
    <w:rsid w:val="7F773E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spacing w:beforeLines="50" w:afterLines="50" w:line="560" w:lineRule="exact"/>
      <w:ind w:firstLine="560" w:firstLineChars="200"/>
      <w:jc w:val="both"/>
    </w:pPr>
    <w:rPr>
      <w:rFonts w:ascii="仿宋" w:hAnsi="仿宋" w:eastAsia="仿宋" w:cs="Calibri"/>
      <w:sz w:val="28"/>
      <w:szCs w:val="28"/>
      <w:lang w:val="en-US" w:eastAsia="zh-CN" w:bidi="ar-SA"/>
    </w:rPr>
  </w:style>
  <w:style w:type="paragraph" w:styleId="2">
    <w:name w:val="heading 1"/>
    <w:basedOn w:val="1"/>
    <w:next w:val="1"/>
    <w:qFormat/>
    <w:uiPriority w:val="1"/>
    <w:pPr>
      <w:spacing w:beforeLines="20" w:afterLines="100"/>
      <w:ind w:firstLine="0" w:firstLineChars="0"/>
      <w:outlineLvl w:val="0"/>
    </w:pPr>
    <w:rPr>
      <w:b/>
      <w:bCs/>
      <w:sz w:val="32"/>
      <w:szCs w:val="32"/>
    </w:rPr>
  </w:style>
  <w:style w:type="paragraph" w:styleId="3">
    <w:name w:val="heading 2"/>
    <w:basedOn w:val="1"/>
    <w:next w:val="1"/>
    <w:link w:val="19"/>
    <w:qFormat/>
    <w:uiPriority w:val="1"/>
    <w:pPr>
      <w:spacing w:beforeLines="100" w:afterLines="100"/>
      <w:outlineLvl w:val="1"/>
    </w:pPr>
    <w:rPr>
      <w:b/>
      <w:bCs/>
    </w:rPr>
  </w:style>
  <w:style w:type="paragraph" w:styleId="4">
    <w:name w:val="heading 3"/>
    <w:basedOn w:val="1"/>
    <w:next w:val="1"/>
    <w:link w:val="20"/>
    <w:unhideWhenUsed/>
    <w:qFormat/>
    <w:uiPriority w:val="9"/>
    <w:pPr>
      <w:keepNext/>
      <w:keepLines/>
      <w:spacing w:before="260" w:after="260" w:line="416" w:lineRule="auto"/>
      <w:outlineLvl w:val="2"/>
    </w:pPr>
    <w:rPr>
      <w:bCs/>
      <w:sz w:val="32"/>
      <w:szCs w:val="32"/>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keepNext/>
      <w:keepLines/>
      <w:spacing w:after="160"/>
      <w:ind w:left="119"/>
    </w:pPr>
    <w:rPr>
      <w:b/>
    </w:rPr>
  </w:style>
  <w:style w:type="paragraph" w:styleId="6">
    <w:name w:val="toc 3"/>
    <w:basedOn w:val="1"/>
    <w:next w:val="1"/>
    <w:qFormat/>
    <w:uiPriority w:val="1"/>
    <w:pPr>
      <w:spacing w:before="155"/>
      <w:ind w:left="1120"/>
    </w:pPr>
  </w:style>
  <w:style w:type="paragraph" w:styleId="7">
    <w:name w:val="Balloon Text"/>
    <w:basedOn w:val="1"/>
    <w:link w:val="21"/>
    <w:semiHidden/>
    <w:unhideWhenUsed/>
    <w:qFormat/>
    <w:uiPriority w:val="99"/>
    <w:pPr>
      <w:spacing w:line="240" w:lineRule="auto"/>
    </w:pPr>
    <w:rPr>
      <w:sz w:val="18"/>
      <w:szCs w:val="18"/>
    </w:rPr>
  </w:style>
  <w:style w:type="paragraph" w:styleId="8">
    <w:name w:val="footer"/>
    <w:basedOn w:val="1"/>
    <w:link w:val="22"/>
    <w:unhideWhenUsed/>
    <w:qFormat/>
    <w:uiPriority w:val="99"/>
    <w:pPr>
      <w:tabs>
        <w:tab w:val="center" w:pos="4153"/>
        <w:tab w:val="right" w:pos="8306"/>
      </w:tabs>
      <w:snapToGrid w:val="0"/>
    </w:pPr>
    <w:rPr>
      <w:sz w:val="18"/>
      <w:szCs w:val="18"/>
    </w:rPr>
  </w:style>
  <w:style w:type="paragraph" w:styleId="9">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qFormat/>
    <w:uiPriority w:val="39"/>
    <w:pPr>
      <w:spacing w:before="193"/>
      <w:ind w:left="520"/>
    </w:pPr>
  </w:style>
  <w:style w:type="paragraph" w:styleId="11">
    <w:name w:val="Subtitle"/>
    <w:basedOn w:val="1"/>
    <w:next w:val="1"/>
    <w:link w:val="24"/>
    <w:autoRedefine/>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12">
    <w:name w:val="toc 2"/>
    <w:basedOn w:val="1"/>
    <w:next w:val="1"/>
    <w:autoRedefine/>
    <w:qFormat/>
    <w:uiPriority w:val="39"/>
    <w:pPr>
      <w:spacing w:before="155"/>
      <w:ind w:left="559"/>
    </w:pPr>
  </w:style>
  <w:style w:type="paragraph" w:styleId="13">
    <w:name w:val="Normal (Web)"/>
    <w:basedOn w:val="1"/>
    <w:autoRedefine/>
    <w:qFormat/>
    <w:uiPriority w:val="99"/>
    <w:pPr>
      <w:widowControl/>
      <w:spacing w:before="100" w:beforeAutospacing="1" w:after="100" w:afterAutospacing="1"/>
    </w:pPr>
    <w:rPr>
      <w:rFonts w:ascii="宋体" w:hAnsi="宋体" w:eastAsia="宋体" w:cs="宋体"/>
      <w:sz w:val="24"/>
      <w:szCs w:val="24"/>
    </w:rPr>
  </w:style>
  <w:style w:type="paragraph" w:styleId="14">
    <w:name w:val="Title"/>
    <w:basedOn w:val="11"/>
    <w:next w:val="1"/>
    <w:link w:val="25"/>
    <w:autoRedefine/>
    <w:qFormat/>
    <w:uiPriority w:val="10"/>
    <w:pPr>
      <w:spacing w:beforeLines="100" w:afterLines="0" w:line="360" w:lineRule="auto"/>
      <w:ind w:firstLine="562"/>
      <w:jc w:val="left"/>
      <w:outlineLvl w:val="9"/>
    </w:pPr>
    <w:rPr>
      <w:rFonts w:ascii="仿宋" w:hAnsi="仿宋" w:eastAsia="仿宋" w:cs="仿宋"/>
      <w:kern w:val="2"/>
      <w:sz w:val="28"/>
      <w:szCs w:val="24"/>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autoRedefine/>
    <w:unhideWhenUsed/>
    <w:qFormat/>
    <w:uiPriority w:val="99"/>
    <w:rPr>
      <w:color w:val="0000FF" w:themeColor="hyperlink"/>
      <w:u w:val="single"/>
    </w:rPr>
  </w:style>
  <w:style w:type="character" w:customStyle="1" w:styleId="19">
    <w:name w:val="标题 2 Char"/>
    <w:basedOn w:val="17"/>
    <w:link w:val="3"/>
    <w:qFormat/>
    <w:uiPriority w:val="1"/>
    <w:rPr>
      <w:rFonts w:ascii="仿宋" w:hAnsi="仿宋" w:eastAsia="仿宋"/>
      <w:b/>
      <w:bCs/>
      <w:sz w:val="28"/>
      <w:szCs w:val="28"/>
    </w:rPr>
  </w:style>
  <w:style w:type="character" w:customStyle="1" w:styleId="20">
    <w:name w:val="标题 3 Char"/>
    <w:basedOn w:val="17"/>
    <w:link w:val="4"/>
    <w:qFormat/>
    <w:uiPriority w:val="9"/>
    <w:rPr>
      <w:rFonts w:eastAsia="仿宋"/>
      <w:b/>
      <w:bCs/>
      <w:sz w:val="32"/>
      <w:szCs w:val="32"/>
    </w:rPr>
  </w:style>
  <w:style w:type="character" w:customStyle="1" w:styleId="21">
    <w:name w:val="批注框文本 Char"/>
    <w:basedOn w:val="17"/>
    <w:link w:val="7"/>
    <w:semiHidden/>
    <w:qFormat/>
    <w:uiPriority w:val="99"/>
    <w:rPr>
      <w:rFonts w:eastAsia="仿宋"/>
      <w:sz w:val="18"/>
      <w:szCs w:val="18"/>
    </w:rPr>
  </w:style>
  <w:style w:type="character" w:customStyle="1" w:styleId="22">
    <w:name w:val="页脚 Char"/>
    <w:basedOn w:val="17"/>
    <w:link w:val="8"/>
    <w:autoRedefine/>
    <w:qFormat/>
    <w:uiPriority w:val="99"/>
    <w:rPr>
      <w:sz w:val="18"/>
      <w:szCs w:val="18"/>
    </w:rPr>
  </w:style>
  <w:style w:type="character" w:customStyle="1" w:styleId="23">
    <w:name w:val="页眉 Char"/>
    <w:basedOn w:val="17"/>
    <w:link w:val="9"/>
    <w:autoRedefine/>
    <w:qFormat/>
    <w:uiPriority w:val="99"/>
    <w:rPr>
      <w:sz w:val="18"/>
      <w:szCs w:val="18"/>
    </w:rPr>
  </w:style>
  <w:style w:type="character" w:customStyle="1" w:styleId="24">
    <w:name w:val="副标题 Char"/>
    <w:basedOn w:val="17"/>
    <w:link w:val="11"/>
    <w:autoRedefine/>
    <w:qFormat/>
    <w:uiPriority w:val="11"/>
    <w:rPr>
      <w:rFonts w:eastAsia="宋体" w:asciiTheme="majorHAnsi" w:hAnsiTheme="majorHAnsi" w:cstheme="majorBidi"/>
      <w:b/>
      <w:bCs/>
      <w:kern w:val="28"/>
      <w:sz w:val="32"/>
      <w:szCs w:val="32"/>
    </w:rPr>
  </w:style>
  <w:style w:type="character" w:customStyle="1" w:styleId="25">
    <w:name w:val="标题 Char"/>
    <w:basedOn w:val="17"/>
    <w:link w:val="14"/>
    <w:autoRedefine/>
    <w:qFormat/>
    <w:uiPriority w:val="10"/>
    <w:rPr>
      <w:rFonts w:ascii="仿宋" w:hAnsi="仿宋" w:eastAsia="仿宋" w:cs="仿宋"/>
      <w:b/>
      <w:bCs/>
      <w:kern w:val="2"/>
      <w:sz w:val="28"/>
      <w:szCs w:val="24"/>
      <w:lang w:eastAsia="zh-CN"/>
    </w:rPr>
  </w:style>
  <w:style w:type="table" w:customStyle="1" w:styleId="26">
    <w:name w:val="Table Normal"/>
    <w:autoRedefine/>
    <w:semiHidden/>
    <w:unhideWhenUsed/>
    <w:qFormat/>
    <w:uiPriority w:val="2"/>
    <w:tblPr>
      <w:tblCellMar>
        <w:top w:w="0" w:type="dxa"/>
        <w:left w:w="0" w:type="dxa"/>
        <w:bottom w:w="0" w:type="dxa"/>
        <w:right w:w="0" w:type="dxa"/>
      </w:tblCellMar>
    </w:tblPr>
  </w:style>
  <w:style w:type="paragraph" w:styleId="27">
    <w:name w:val="List Paragraph"/>
    <w:basedOn w:val="1"/>
    <w:autoRedefine/>
    <w:qFormat/>
    <w:uiPriority w:val="99"/>
  </w:style>
  <w:style w:type="paragraph" w:customStyle="1" w:styleId="28">
    <w:name w:val="Table Paragraph"/>
    <w:basedOn w:val="1"/>
    <w:autoRedefine/>
    <w:qFormat/>
    <w:uiPriority w:val="1"/>
  </w:style>
  <w:style w:type="paragraph" w:customStyle="1" w:styleId="29">
    <w:name w:val="TOC 标题1"/>
    <w:basedOn w:val="2"/>
    <w:next w:val="1"/>
    <w:autoRedefine/>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366091" w:themeColor="accent1" w:themeShade="BF"/>
    </w:rPr>
  </w:style>
  <w:style w:type="character" w:customStyle="1" w:styleId="30">
    <w:name w:val="bjh-strong"/>
    <w:basedOn w:val="17"/>
    <w:autoRedefine/>
    <w:qFormat/>
    <w:uiPriority w:val="0"/>
  </w:style>
  <w:style w:type="paragraph" w:styleId="31">
    <w:name w:val="No Spacing"/>
    <w:autoRedefine/>
    <w:qFormat/>
    <w:uiPriority w:val="1"/>
    <w:pPr>
      <w:widowControl w:val="0"/>
      <w:spacing w:beforeLines="50" w:afterLines="50"/>
      <w:ind w:firstLine="200" w:firstLineChars="200"/>
    </w:pPr>
    <w:rPr>
      <w:rFonts w:eastAsia="仿宋" w:asciiTheme="minorHAnsi" w:hAnsiTheme="minorHAnsi" w:cstheme="minorBidi"/>
      <w:sz w:val="28"/>
      <w:szCs w:val="22"/>
      <w:lang w:val="en-US" w:eastAsia="en-US" w:bidi="ar-SA"/>
    </w:rPr>
  </w:style>
  <w:style w:type="table" w:customStyle="1" w:styleId="32">
    <w:name w:val="Table Normal1"/>
    <w:autoRedefine/>
    <w:semiHidden/>
    <w:unhideWhenUsed/>
    <w:qFormat/>
    <w:uiPriority w:val="2"/>
    <w:tblPr>
      <w:tblCellMar>
        <w:top w:w="0" w:type="dxa"/>
        <w:left w:w="0" w:type="dxa"/>
        <w:bottom w:w="0" w:type="dxa"/>
        <w:right w:w="0" w:type="dxa"/>
      </w:tblCellMar>
    </w:tblPr>
  </w:style>
  <w:style w:type="table" w:customStyle="1" w:styleId="33">
    <w:name w:val="Table Normal2"/>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755A0-29A6-49A0-95F1-C18B348ECA2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269</Words>
  <Characters>1535</Characters>
  <Lines>12</Lines>
  <Paragraphs>3</Paragraphs>
  <TotalTime>28281</TotalTime>
  <ScaleCrop>false</ScaleCrop>
  <LinksUpToDate>false</LinksUpToDate>
  <CharactersWithSpaces>1801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2022-03-07T13:19:00Z</dcterms:created>
  <dc:creator>田硕</dc:creator>
  <cp:lastModifiedBy>小白菜</cp:lastModifiedBy>
  <cp:lastPrinted>2023-03-23T12:32:00Z</cp:lastPrinted>
  <dcterms:modified xsi:type="dcterms:W3CDTF">2024-02-21T03:54:12Z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LastSaved">
    <vt:filetime>2022-03-05T00:00:00Z</vt:filetime>
  </property>
  <property fmtid="{D5CDD505-2E9C-101B-9397-08002B2CF9AE}" pid="4" name="KSOProductBuildVer">
    <vt:lpwstr>2052-12.1.0.16250</vt:lpwstr>
  </property>
  <property fmtid="{D5CDD505-2E9C-101B-9397-08002B2CF9AE}" pid="5" name="ICV">
    <vt:lpwstr>0F95C7889B7146389A9A1B9C0B7FCAAF</vt:lpwstr>
  </property>
</Properties>
</file>