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附件1</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2022</w:t>
      </w:r>
      <w:r>
        <w:rPr>
          <w:rFonts w:hint="eastAsia" w:ascii="宋体" w:hAnsi="宋体" w:eastAsia="宋体" w:cs="宋体"/>
          <w:color w:val="333333"/>
          <w:kern w:val="0"/>
          <w:sz w:val="24"/>
          <w:szCs w:val="24"/>
        </w:rPr>
        <w:t>年度）</w:t>
      </w:r>
      <w:bookmarkStart w:id="0" w:name="_GoBack"/>
      <w:bookmarkEnd w:id="0"/>
    </w:p>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val="en-US" w:eastAsia="zh-CN"/>
        </w:rPr>
        <w:t>海口市琼山区人民政府办公室</w:t>
      </w:r>
    </w:p>
    <w:tbl>
      <w:tblPr>
        <w:tblStyle w:val="3"/>
        <w:tblW w:w="9518" w:type="dxa"/>
        <w:jc w:val="center"/>
        <w:tblLayout w:type="fixed"/>
        <w:tblCellMar>
          <w:top w:w="0" w:type="dxa"/>
          <w:left w:w="0" w:type="dxa"/>
          <w:bottom w:w="0" w:type="dxa"/>
          <w:right w:w="0" w:type="dxa"/>
        </w:tblCellMar>
      </w:tblPr>
      <w:tblGrid>
        <w:gridCol w:w="2004"/>
        <w:gridCol w:w="2976"/>
        <w:gridCol w:w="2607"/>
        <w:gridCol w:w="1931"/>
      </w:tblGrid>
      <w:tr>
        <w:tblPrEx>
          <w:tblCellMar>
            <w:top w:w="0" w:type="dxa"/>
            <w:left w:w="0" w:type="dxa"/>
            <w:bottom w:w="0" w:type="dxa"/>
            <w:right w:w="0" w:type="dxa"/>
          </w:tblCellMar>
        </w:tblPrEx>
        <w:trPr>
          <w:jc w:val="center"/>
        </w:trPr>
        <w:tc>
          <w:tcPr>
            <w:tcW w:w="20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网站名称</w:t>
            </w:r>
          </w:p>
        </w:tc>
        <w:tc>
          <w:tcPr>
            <w:tcW w:w="751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Cs w:val="21"/>
                <w:lang w:eastAsia="zh-CN"/>
              </w:rPr>
              <w:t>海口市琼山区人民政府网站</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http://qsqzf.haikou.gov.cn/</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海口市琼山区人民政府办公室</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政府门户网站　　　□部门网站　　　□专项网站</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4"/>
                <w:szCs w:val="24"/>
              </w:rPr>
              <w:t>4601070001</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4"/>
                <w:szCs w:val="24"/>
              </w:rPr>
              <w:t>19003581 号-1</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4"/>
                <w:szCs w:val="24"/>
              </w:rPr>
              <w:t>46010702000 115 号</w:t>
            </w:r>
            <w:r>
              <w:rPr>
                <w:rFonts w:ascii="Calibri" w:hAnsi="Calibri" w:eastAsia="宋体" w:cs="Calibri"/>
                <w:kern w:val="0"/>
                <w:sz w:val="24"/>
                <w:szCs w:val="24"/>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独立用户访问总量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577241</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1154483</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1286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 w:val="20"/>
                <w:szCs w:val="20"/>
                <w:lang w:val="en-US" w:eastAsia="zh-CN"/>
              </w:rPr>
              <w:t>20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40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1226</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40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15</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7</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5</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rPr>
            </w:pPr>
            <w:r>
              <w:rPr>
                <w:rFonts w:hint="eastAsia" w:ascii="Calibri" w:hAnsi="Calibri" w:eastAsia="宋体" w:cs="Calibri"/>
                <w:kern w:val="0"/>
                <w:sz w:val="20"/>
                <w:szCs w:val="20"/>
                <w:lang w:val="en-US" w:eastAsia="zh-CN"/>
              </w:rPr>
              <w:t>4</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3</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5957921</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政务服务事项数量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260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242</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办件量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eastAsia="zh-CN"/>
              </w:rPr>
              <w:t>19980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18012</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eastAsia="zh-CN"/>
              </w:rPr>
              <w:t>1968</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Cs w:val="21"/>
                <w:lang w:eastAsia="zh-CN"/>
              </w:rPr>
              <w:t>5</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办结留言数量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5</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平均办理时间</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1</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公开答复数量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收到意见数量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Cs w:val="21"/>
                <w:lang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公布调查结果期数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访谈期数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网民留言数量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答复网民提问数量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20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48</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48</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搜索即服务　　　□多语言版本　　　□无障碍浏览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__________________________________</w:t>
            </w:r>
          </w:p>
        </w:tc>
      </w:tr>
    </w:tbl>
    <w:p>
      <w:pPr>
        <w:widowControl/>
        <w:shd w:val="clear" w:color="auto" w:fill="FFFFFF"/>
        <w:ind w:right="-907" w:rightChars="-432" w:hanging="142"/>
        <w:rPr>
          <w:rFonts w:ascii="宋体" w:hAnsi="宋体" w:eastAsia="宋体" w:cs="宋体"/>
          <w:color w:val="333333"/>
          <w:kern w:val="0"/>
          <w:sz w:val="24"/>
          <w:szCs w:val="24"/>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0"/>
          <w:szCs w:val="20"/>
          <w:lang w:val="en-US" w:eastAsia="zh-CN"/>
        </w:rPr>
        <w:t>王和浩</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审核人：</w:t>
      </w:r>
      <w:r>
        <w:rPr>
          <w:rFonts w:hint="eastAsia" w:ascii="宋体" w:hAnsi="宋体" w:eastAsia="宋体" w:cs="宋体"/>
          <w:color w:val="333333"/>
          <w:kern w:val="0"/>
          <w:sz w:val="20"/>
          <w:szCs w:val="20"/>
          <w:lang w:val="en-US" w:eastAsia="zh-CN"/>
        </w:rPr>
        <w:t>戚华青</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填报人：</w:t>
      </w:r>
      <w:r>
        <w:rPr>
          <w:rFonts w:hint="eastAsia" w:ascii="宋体" w:hAnsi="宋体" w:eastAsia="宋体" w:cs="宋体"/>
          <w:color w:val="333333"/>
          <w:kern w:val="0"/>
          <w:sz w:val="20"/>
          <w:szCs w:val="20"/>
          <w:lang w:val="en-US" w:eastAsia="zh-CN"/>
        </w:rPr>
        <w:t>周黎辉</w:t>
      </w:r>
      <w:r>
        <w:rPr>
          <w:rFonts w:hint="eastAsia" w:ascii="宋体" w:hAnsi="宋体" w:eastAsia="宋体" w:cs="宋体"/>
          <w:color w:val="333333"/>
          <w:kern w:val="0"/>
          <w:sz w:val="24"/>
          <w:szCs w:val="24"/>
        </w:rPr>
        <w:t> </w:t>
      </w:r>
    </w:p>
    <w:p>
      <w:pPr>
        <w:widowControl/>
        <w:shd w:val="clear" w:color="auto" w:fill="FFFFFF"/>
        <w:ind w:right="-907" w:rightChars="-432" w:hanging="142"/>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联系电话：</w:t>
      </w:r>
      <w:r>
        <w:rPr>
          <w:rFonts w:hint="eastAsia" w:ascii="宋体" w:hAnsi="宋体" w:eastAsia="宋体" w:cs="宋体"/>
          <w:color w:val="333333"/>
          <w:kern w:val="0"/>
          <w:sz w:val="20"/>
          <w:szCs w:val="20"/>
          <w:lang w:val="en-US" w:eastAsia="zh-CN"/>
        </w:rPr>
        <w:t>65884012</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填报日期：</w:t>
      </w:r>
      <w:r>
        <w:rPr>
          <w:rFonts w:hint="eastAsia" w:ascii="宋体" w:hAnsi="宋体" w:eastAsia="宋体" w:cs="宋体"/>
          <w:color w:val="333333"/>
          <w:kern w:val="0"/>
          <w:sz w:val="20"/>
          <w:szCs w:val="20"/>
          <w:lang w:val="en-US" w:eastAsia="zh-CN"/>
        </w:rPr>
        <w:t>2023年1月12</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w:t>
      </w:r>
      <w:r>
        <w:rPr>
          <w:rFonts w:ascii="宋体" w:hAnsi="宋体" w:eastAsia="宋体" w:cs="宋体"/>
          <w:b/>
          <w:bCs/>
          <w:color w:val="333333"/>
          <w:kern w:val="0"/>
          <w:sz w:val="24"/>
          <w:szCs w:val="24"/>
        </w:rPr>
        <w:t>2</w:t>
      </w:r>
    </w:p>
    <w:p>
      <w:pPr>
        <w:widowControl/>
        <w:shd w:val="clear" w:color="auto" w:fill="FFFFFF"/>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政府网站工作年度报表填写说明</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一、基本信息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1.网站名称：请填写网站的中文名称。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2.首页网址：请填写网站首页页面地址。例如，北京市人民政府门户网站填写“http://www.beijing.gov.cn”。</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3.主办单位：请填写网站的主办单位全称。例如，北京市人民政府门户网站填写“北京市人民政府办公厅”。</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4.网站类型：请按照网站类型勾选“政府门户网站”、“部门网站”或“专项网站”。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5.政府网站标识码：请填写在“全国政府网站信息报送系统”中获取的政府网站标识码。例如，北京市人民政府门户网站填写“1100000088”。</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6.ICP备案号：请填写网站对应的ICP备案编号。例如，北京市人民政府门户网站填写“京ICP备05060933”。</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7.公安机关备案号：请填写网站在公安机关的备案号。例如，北京市人民政府门户网站填写“京公网安备110105000722”。</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8.独立用户访问总量：请填写本年度访问网站的用户总数（UV），同一用户每日多次访问不重复计算，只计一次。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9.网站总访问量：请填写本年度网站的总点击次数（PV），同一用户对同一页面多次访问重复计算。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1.总数：请填写本年度网站发布信息的总条数，不包括外链信息。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2.概况类信息更新量：请填写本年度网站发布经济、社会、历史、地理、人文、行政区划等介绍性信息，机构设置、主要职责和联系方式等机构职能信息，本市县、本单位负责人信息的总条数。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3.政务动态信息更新量：请填写本年度网站发布本市县、本单位政务要闻、通知公告、工作动态等需要社会公众广泛知晓的政务动态信息的总条数。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4.信息公开目录信息更新量：请填写本年度网站政府信息公开目录中发布信息的总条数。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三、专栏专题</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1.维护数量：请填写网站维护的本年度有信息更新的专栏专题总个数。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2.新开设数量：请填写本年度网站新开设的专栏专题个数。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四、解读回应</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1.解读信息发布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（1）总数：请填写本年度网站发布或转载的对政策文件的解读材料、解读产品、媒体评论文章的总数，不包括外链信息。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（2）解读材料数量：请填写本年度网站发布或转载的对政策文件的解读材料（以文字解读为主）的总条数，不包括外链信息。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（4）媒体评论文章数量：请填写本年度网站发布或转载的关于政策文件的媒体评论文章的总篇数，不包括外链信息。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五、办事服务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1.是否发布服务事项目录：是否在网站发布本单位政务服务事项目录，请勾选“是”或“否”。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2.注册用户数：请填写截至本年度12月底网站的注册用户数。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3.政务服务事项数量：请填写网站提供的本单位政务服务事项总项数。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4.可全程在线办理政务服务事项数量：请填写网站提供的本单位可全程网上办理的政务服务事项总项数。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5.办件量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六、互动交流</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2.留言办理</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（1）收到留言数量：请填写本年度通过网站开设的咨询投诉、反映问题等互动交流栏目收集到的网民留言总条数。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（2）办结留言数量：请填写本年度网站办结的网民留言总条数。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（3）平均办理时间：请填写本年度网站网民留言从收到到办结的平均办理天数。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（4）公开答复数量：请填写本年度网站公开网民留言及留言答复情况的留言总条数。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3.征集调查</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（1）征集调查期数：请填写本年度网站发布的面向公众或有关单位的征集调查的总期数。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（2）收到意见数量：请填写本年度网站通过征集调查收到的意见总条数。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（3）公布调查结果期数：请填写本年度已公布结果的征集调查的总期数。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4.在线访谈</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（1）访谈期数：请填写本年度网站单独举办或与主流媒体等其他机构合作举办，并可通过政府网站观看的在线访谈的总期数。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（2）网民留言数量：请填写本年度通过在线访谈收到的网民留言的总条数。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（3）答复网民提问数量：请填写本年度通过在线访谈答复网民提问的总条数。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5.是否提供智能问答：网站是否提供通过自然语言处理等相关技术自动解答用户咨询的智能问答功能，请勾选“是”或“否”。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七、安全防护</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1.安全检测评估次数：请填写本年度对网站开展安全检测评估的总次数。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2.发现问题数量：请填写本年度安全检测评估中发现并确认的安全问题总个数。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3.问题整改数量：请填写本年度网站整改到位的安全问题总个数。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4.是否建立安全监测预警机制：网站是否已建立安全监测预警机制，请勾选“是”或“否”。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5.是否开展应急演练：本年度网站是否开展网络安全应急演练，请勾选“是”或“否”。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6.是否明确网站安全责任人：网站是否明确网站安全责任人，请勾选“是”或“否”。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八、移动新媒体</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1.是否有移动新媒体：网站主办单位是否保障移动新媒体，请勾选“是”或“否”。如勾选“是”，请填写“微博”、“微信”、“其他”项目。</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2.微博</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（2）信息发布量：请填写本年度微博账号发布信息总条数，包括转载的信息，不包括对其他账号发布内容的评论信息。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（3）关注量：请填写微博账号的网民关注数量。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3.微信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（2）信息发布量：请填写本年度微信公众账号发布信息总条数。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（3）订阅数：请填写微信公众账号的网民订阅数量。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4.其他</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九、创新发展</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本项为多选，请根据实际情况勾选对应选项。如勾选“其他”，请在横线上注明具体内容，字数不超过200字。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“多语言版本”指根据用户群体特点和需求，提供多语言服务。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“无障碍浏览”指为方便残疾人、老年人等特殊群体获取网站信息，提供无障碍浏览服务。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“千人千网”指以用户为中心，打造个人和企业专属主页，提供个性化、便捷化、智能化服务。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“其他”指在个性化服务、开放式架构、大数据支撑、多渠道拓展等方面提供的创新功能或服务。</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4ODlkYjA1M2Q4Njg5YWZmNDQwOTBlNjQ3Y2E0NGYifQ=="/>
  </w:docVars>
  <w:rsids>
    <w:rsidRoot w:val="00000000"/>
    <w:rsid w:val="009B07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apple-converted-space"/>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3730</Words>
  <Characters>3968</Characters>
  <Lines>30</Lines>
  <Paragraphs>8</Paragraphs>
  <TotalTime>1</TotalTime>
  <ScaleCrop>false</ScaleCrop>
  <LinksUpToDate>false</LinksUpToDate>
  <CharactersWithSpaces>4082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2018-01-24T19:39:00Z</dcterms:created>
  <dc:creator>孟乐乐</dc:creator>
  <cp:lastModifiedBy>acu</cp:lastModifiedBy>
  <cp:lastPrinted>2023-01-11T23:47:00Z</cp:lastPrinted>
  <dcterms:modified xsi:type="dcterms:W3CDTF">2023-01-12T08:23:48Z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0800FEEABE8747678392636B615A4C8B</vt:lpwstr>
  </property>
</Properties>
</file>