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微软雅黑" w:hAnsi="微软雅黑" w:eastAsia="微软雅黑" w:cs="微软雅黑"/>
          <w:b/>
          <w:bCs/>
          <w:color w:val="F79646"/>
          <w:w w:val="95"/>
          <w:sz w:val="32"/>
          <w:szCs w:val="32"/>
        </w:rPr>
      </w:pPr>
      <w:bookmarkStart w:id="0" w:name="_Toc23335"/>
      <w:bookmarkStart w:id="1" w:name="_Toc17999"/>
      <w:bookmarkStart w:id="2" w:name="_Toc29104"/>
      <w:bookmarkStart w:id="3" w:name="_Toc16911"/>
      <w:bookmarkStart w:id="4" w:name="_Toc9422"/>
      <w:bookmarkStart w:id="5" w:name="_Toc32032"/>
      <w:bookmarkStart w:id="6" w:name="_Toc5304"/>
      <w:bookmarkStart w:id="7" w:name="_Toc8705"/>
      <w:bookmarkStart w:id="8" w:name="_Toc7629"/>
      <w:bookmarkStart w:id="123" w:name="_GoBack"/>
      <w:bookmarkEnd w:id="123"/>
    </w:p>
    <w:p>
      <w:pPr>
        <w:pStyle w:val="2"/>
      </w:pPr>
    </w:p>
    <w:p/>
    <w:p>
      <w:pPr>
        <w:pStyle w:val="4"/>
        <w:keepNext w:val="0"/>
        <w:keepLines w:val="0"/>
        <w:pageBreakBefore w:val="0"/>
        <w:widowControl w:val="0"/>
        <w:kinsoku/>
        <w:wordWrap/>
        <w:overflowPunct/>
        <w:topLinePunct w:val="0"/>
        <w:autoSpaceDE w:val="0"/>
        <w:autoSpaceDN w:val="0"/>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kern w:val="0"/>
          <w:sz w:val="44"/>
          <w:szCs w:val="44"/>
          <w:lang w:val="zh-CN" w:bidi="zh-CN"/>
        </w:rPr>
      </w:pPr>
      <w:r>
        <w:rPr>
          <w:rFonts w:hint="eastAsia" w:ascii="方正小标宋简体" w:hAnsi="方正小标宋简体" w:eastAsia="方正小标宋简体" w:cs="方正小标宋简体"/>
          <w:b w:val="0"/>
          <w:bCs/>
          <w:kern w:val="0"/>
          <w:sz w:val="44"/>
          <w:szCs w:val="44"/>
          <w:lang w:val="zh-CN" w:bidi="zh-CN"/>
        </w:rPr>
        <w:t>海口市琼山区</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color w:val="F79646"/>
          <w:w w:val="95"/>
          <w:sz w:val="44"/>
          <w:szCs w:val="44"/>
        </w:rPr>
      </w:pPr>
      <w:r>
        <w:rPr>
          <w:rFonts w:hint="eastAsia" w:ascii="方正小标宋简体" w:hAnsi="方正小标宋简体" w:eastAsia="方正小标宋简体" w:cs="方正小标宋简体"/>
          <w:b w:val="0"/>
          <w:bCs/>
          <w:kern w:val="0"/>
          <w:sz w:val="44"/>
          <w:szCs w:val="44"/>
          <w:lang w:val="zh-CN" w:bidi="zh-CN"/>
        </w:rPr>
        <w:t>自然灾害救助应急预案</w:t>
      </w:r>
    </w:p>
    <w:bookmarkEnd w:id="0"/>
    <w:bookmarkEnd w:id="1"/>
    <w:bookmarkEnd w:id="2"/>
    <w:bookmarkEnd w:id="3"/>
    <w:bookmarkEnd w:id="4"/>
    <w:bookmarkEnd w:id="5"/>
    <w:bookmarkEnd w:id="6"/>
    <w:bookmarkEnd w:id="7"/>
    <w:bookmarkEnd w:id="8"/>
    <w:p>
      <w:pPr>
        <w:keepNext w:val="0"/>
        <w:keepLines w:val="0"/>
        <w:pageBreakBefore w:val="0"/>
        <w:widowControl w:val="0"/>
        <w:shd w:val="clear" w:color="auto" w:fill="FFFFFF"/>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30"/>
          <w:szCs w:val="30"/>
        </w:rPr>
      </w:pPr>
      <w:r>
        <w:rPr>
          <w:rFonts w:hint="eastAsia" w:ascii="方正小标宋简体" w:hAnsi="方正小标宋简体" w:eastAsia="方正小标宋简体" w:cs="方正小标宋简体"/>
          <w:b w:val="0"/>
          <w:bCs/>
          <w:kern w:val="0"/>
          <w:sz w:val="30"/>
          <w:szCs w:val="30"/>
        </w:rPr>
        <w:t>（2020年修订）</w:t>
      </w: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方正小标宋简体" w:hAnsi="方正小标宋简体" w:eastAsia="方正小标宋简体" w:cs="方正小标宋简体"/>
          <w:b w:val="0"/>
          <w:bCs/>
          <w:color w:val="000000" w:themeColor="text1"/>
          <w:w w:val="95"/>
          <w:sz w:val="36"/>
          <w:szCs w:val="36"/>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color w:val="F79646"/>
          <w:w w:val="95"/>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spacing w:val="-8"/>
          <w:sz w:val="32"/>
          <w:szCs w:val="32"/>
        </w:rPr>
      </w:pPr>
      <w:bookmarkStart w:id="9" w:name="_Toc27041"/>
      <w:bookmarkStart w:id="10" w:name="_Toc124"/>
    </w:p>
    <w:p>
      <w:pPr>
        <w:pStyle w:val="4"/>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spacing w:val="-8"/>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spacing w:val="-8"/>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pacing w:val="-8"/>
          <w:sz w:val="32"/>
          <w:szCs w:val="32"/>
        </w:rPr>
      </w:pPr>
      <w:r>
        <w:rPr>
          <w:rFonts w:hint="eastAsia" w:ascii="方正小标宋简体" w:hAnsi="方正小标宋简体" w:eastAsia="方正小标宋简体" w:cs="方正小标宋简体"/>
          <w:b w:val="0"/>
          <w:bCs/>
          <w:color w:val="auto"/>
          <w:spacing w:val="-8"/>
          <w:sz w:val="32"/>
          <w:szCs w:val="32"/>
          <w:lang w:eastAsia="zh-CN"/>
        </w:rPr>
        <w:t>海口市</w:t>
      </w:r>
      <w:r>
        <w:rPr>
          <w:rFonts w:hint="eastAsia" w:ascii="方正小标宋简体" w:hAnsi="方正小标宋简体" w:eastAsia="方正小标宋简体" w:cs="方正小标宋简体"/>
          <w:b w:val="0"/>
          <w:bCs/>
          <w:color w:val="auto"/>
          <w:spacing w:val="-8"/>
          <w:sz w:val="32"/>
          <w:szCs w:val="32"/>
        </w:rPr>
        <w:t>琼山</w:t>
      </w:r>
      <w:bookmarkEnd w:id="9"/>
      <w:bookmarkEnd w:id="10"/>
      <w:r>
        <w:rPr>
          <w:rFonts w:hint="eastAsia" w:ascii="方正小标宋简体" w:hAnsi="方正小标宋简体" w:eastAsia="方正小标宋简体" w:cs="方正小标宋简体"/>
          <w:b w:val="0"/>
          <w:bCs/>
          <w:color w:val="auto"/>
          <w:spacing w:val="-8"/>
          <w:sz w:val="32"/>
          <w:szCs w:val="32"/>
        </w:rPr>
        <w:t>区</w:t>
      </w:r>
      <w:r>
        <w:rPr>
          <w:rFonts w:hint="eastAsia" w:ascii="方正小标宋简体" w:hAnsi="方正小标宋简体" w:eastAsia="方正小标宋简体" w:cs="方正小标宋简体"/>
          <w:b w:val="0"/>
          <w:bCs/>
          <w:color w:val="auto"/>
          <w:spacing w:val="-8"/>
          <w:sz w:val="32"/>
          <w:szCs w:val="32"/>
          <w:lang w:eastAsia="zh-CN"/>
        </w:rPr>
        <w:t>人民政府</w:t>
      </w:r>
    </w:p>
    <w:p>
      <w:pPr>
        <w:pStyle w:val="4"/>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b w:val="0"/>
          <w:bCs/>
          <w:color w:val="auto"/>
          <w:sz w:val="32"/>
          <w:szCs w:val="32"/>
        </w:rPr>
      </w:pPr>
      <w:r>
        <w:rPr>
          <w:rFonts w:hint="eastAsia" w:ascii="方正小标宋简体" w:hAnsi="方正小标宋简体" w:eastAsia="方正小标宋简体" w:cs="方正小标宋简体"/>
          <w:b w:val="0"/>
          <w:bCs/>
          <w:color w:val="auto"/>
          <w:spacing w:val="-8"/>
          <w:sz w:val="32"/>
          <w:szCs w:val="32"/>
        </w:rPr>
        <w:t>2020年</w:t>
      </w:r>
      <w:r>
        <w:rPr>
          <w:rFonts w:hint="eastAsia" w:ascii="方正小标宋简体" w:hAnsi="方正小标宋简体" w:eastAsia="方正小标宋简体" w:cs="方正小标宋简体"/>
          <w:b w:val="0"/>
          <w:bCs/>
          <w:color w:val="auto"/>
          <w:spacing w:val="-8"/>
          <w:sz w:val="32"/>
          <w:szCs w:val="32"/>
          <w:lang w:val="en-US" w:eastAsia="zh-CN"/>
        </w:rPr>
        <w:t>1</w:t>
      </w:r>
      <w:r>
        <w:rPr>
          <w:rFonts w:hint="eastAsia" w:ascii="方正小标宋简体" w:hAnsi="方正小标宋简体" w:eastAsia="方正小标宋简体" w:cs="方正小标宋简体"/>
          <w:b w:val="0"/>
          <w:bCs/>
          <w:color w:val="auto"/>
          <w:spacing w:val="-8"/>
          <w:sz w:val="32"/>
          <w:szCs w:val="32"/>
        </w:rPr>
        <w:t>1月</w:t>
      </w:r>
    </w:p>
    <w:p>
      <w:pPr>
        <w:spacing w:line="560" w:lineRule="exact"/>
        <w:jc w:val="center"/>
        <w:rPr>
          <w:rFonts w:ascii="楷体" w:hAnsi="楷体" w:eastAsia="楷体" w:cs="仿宋"/>
          <w:sz w:val="32"/>
          <w:szCs w:val="32"/>
        </w:rPr>
      </w:pPr>
    </w:p>
    <w:p>
      <w:pPr>
        <w:spacing w:line="560" w:lineRule="exact"/>
        <w:jc w:val="both"/>
        <w:rPr>
          <w:rFonts w:ascii="仿宋" w:hAnsi="仿宋" w:eastAsia="仿宋" w:cs="仿宋"/>
          <w:b/>
          <w:bCs/>
          <w:sz w:val="28"/>
          <w:szCs w:val="28"/>
        </w:rPr>
        <w:sectPr>
          <w:headerReference r:id="rId3" w:type="default"/>
          <w:footerReference r:id="rId4" w:type="default"/>
          <w:pgSz w:w="11906" w:h="16838"/>
          <w:pgMar w:top="1417" w:right="1417" w:bottom="1417" w:left="1417" w:header="851" w:footer="992" w:gutter="0"/>
          <w:pgNumType w:fmt="numberInDash"/>
          <w:cols w:space="425" w:num="1"/>
          <w:docGrid w:type="lines" w:linePitch="312" w:charSpace="0"/>
        </w:sectPr>
      </w:pPr>
    </w:p>
    <w:p>
      <w:pPr>
        <w:spacing w:line="600" w:lineRule="exact"/>
        <w:jc w:val="center"/>
        <w:rPr>
          <w:rFonts w:ascii="宋体" w:hAnsi="宋体" w:cs="宋体"/>
          <w:b/>
          <w:bCs/>
          <w:sz w:val="32"/>
          <w:szCs w:val="32"/>
        </w:rPr>
      </w:pPr>
      <w:r>
        <w:rPr>
          <w:rFonts w:hint="eastAsia" w:ascii="宋体" w:hAnsi="宋体" w:cs="宋体"/>
          <w:b/>
          <w:bCs/>
          <w:sz w:val="32"/>
          <w:szCs w:val="32"/>
        </w:rPr>
        <w:t>目  录</w:t>
      </w:r>
    </w:p>
    <w:sdt>
      <w:sdtPr>
        <w:rPr>
          <w:rFonts w:ascii="宋体" w:hAnsi="宋体" w:eastAsia="宋体"/>
        </w:rPr>
        <w:id w:val="147467231"/>
        <w15:color w:val="DBDBDB"/>
        <w:docPartObj>
          <w:docPartGallery w:val="Table of Contents"/>
          <w:docPartUnique/>
        </w:docPartObj>
      </w:sdtPr>
      <w:sdtEndPr>
        <w:rPr>
          <w:rFonts w:hint="eastAsia" w:ascii="宋体" w:hAnsi="宋体" w:cs="宋体" w:eastAsiaTheme="minorEastAsia"/>
          <w:b/>
          <w:bCs/>
          <w:szCs w:val="44"/>
        </w:rPr>
      </w:sdtEndPr>
      <w:sdtContent>
        <w:p>
          <w:pPr>
            <w:pStyle w:val="8"/>
            <w:tabs>
              <w:tab w:val="right" w:leader="dot" w:pos="9060"/>
            </w:tabs>
            <w:rPr>
              <w:rFonts w:hint="eastAsia" w:ascii="楷体" w:hAnsi="楷体" w:eastAsia="楷体" w:cs="楷体"/>
              <w:color w:val="0563C1" w:themeColor="hyperlink"/>
              <w:kern w:val="2"/>
              <w:sz w:val="21"/>
              <w:szCs w:val="24"/>
              <w:u w:val="single"/>
              <w:lang w:val="en-US" w:eastAsia="zh-CN" w:bidi="ar-SA"/>
              <w14:textFill>
                <w14:solidFill>
                  <w14:schemeClr w14:val="hlink"/>
                </w14:solidFill>
              </w14:textFill>
            </w:rPr>
          </w:pPr>
          <w:r>
            <w:rPr>
              <w:rStyle w:val="12"/>
              <w:rFonts w:hint="eastAsia" w:ascii="楷体" w:hAnsi="楷体" w:eastAsia="楷体" w:cs="楷体"/>
            </w:rPr>
            <w:fldChar w:fldCharType="begin"/>
          </w:r>
          <w:r>
            <w:rPr>
              <w:rStyle w:val="12"/>
              <w:rFonts w:hint="eastAsia" w:ascii="楷体" w:hAnsi="楷体" w:eastAsia="楷体" w:cs="楷体"/>
            </w:rPr>
            <w:instrText xml:space="preserve">TOC \o "1-2" \h \u </w:instrText>
          </w:r>
          <w:r>
            <w:rPr>
              <w:rStyle w:val="12"/>
              <w:rFonts w:hint="eastAsia" w:ascii="楷体" w:hAnsi="楷体" w:eastAsia="楷体" w:cs="楷体"/>
            </w:rPr>
            <w:fldChar w:fldCharType="separate"/>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_Toc31607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1</w:t>
          </w:r>
          <w:r>
            <w:rPr>
              <w:rFonts w:hint="eastAsia" w:ascii="黑体" w:hAnsi="黑体" w:eastAsia="黑体" w:cs="黑体"/>
              <w:sz w:val="24"/>
              <w:szCs w:val="24"/>
            </w:rPr>
            <w:t>总则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_Toc31607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_Toc12066 </w:instrText>
          </w:r>
          <w:r>
            <w:rPr>
              <w:rFonts w:hint="eastAsia" w:ascii="楷体" w:hAnsi="楷体" w:eastAsia="楷体" w:cs="楷体"/>
              <w:sz w:val="24"/>
              <w:szCs w:val="24"/>
            </w:rPr>
            <w:fldChar w:fldCharType="separate"/>
          </w:r>
          <w:r>
            <w:rPr>
              <w:rFonts w:hint="eastAsia" w:ascii="楷体" w:hAnsi="楷体" w:eastAsia="楷体" w:cs="楷体"/>
              <w:kern w:val="2"/>
              <w:sz w:val="24"/>
              <w:szCs w:val="24"/>
              <w:lang w:val="en-US" w:eastAsia="zh-CN" w:bidi="zh-CN"/>
            </w:rPr>
            <w:t>1.1</w:t>
          </w:r>
          <w:r>
            <w:rPr>
              <w:rFonts w:hint="eastAsia" w:ascii="楷体" w:hAnsi="楷体" w:eastAsia="楷体" w:cs="楷体"/>
              <w:sz w:val="24"/>
              <w:szCs w:val="24"/>
            </w:rPr>
            <w:t>编制目的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_Toc12066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_Toc10895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1.2</w:t>
          </w:r>
          <w:r>
            <w:rPr>
              <w:rFonts w:hint="eastAsia" w:ascii="楷体" w:hAnsi="楷体" w:eastAsia="楷体" w:cs="楷体"/>
              <w:sz w:val="24"/>
              <w:szCs w:val="24"/>
            </w:rPr>
            <w:t>编制依据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_Toc10895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_Toc26922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1.3</w:t>
          </w:r>
          <w:r>
            <w:rPr>
              <w:rFonts w:hint="eastAsia" w:ascii="楷体" w:hAnsi="楷体" w:eastAsia="楷体" w:cs="楷体"/>
              <w:sz w:val="24"/>
              <w:szCs w:val="24"/>
            </w:rPr>
            <w:t>适用范围</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_Toc26922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_Toc32292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1.4</w:t>
          </w:r>
          <w:r>
            <w:rPr>
              <w:rFonts w:hint="eastAsia" w:ascii="楷体" w:hAnsi="楷体" w:eastAsia="楷体" w:cs="楷体"/>
              <w:sz w:val="24"/>
              <w:szCs w:val="24"/>
            </w:rPr>
            <w:t>工作原则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_Toc32292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_Toc25224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1.5</w:t>
          </w:r>
          <w:r>
            <w:rPr>
              <w:rFonts w:hint="eastAsia" w:ascii="楷体" w:hAnsi="楷体" w:eastAsia="楷体" w:cs="楷体"/>
              <w:sz w:val="24"/>
              <w:szCs w:val="24"/>
            </w:rPr>
            <w:t>自然灾害救助应急预案体系</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_Toc25224 </w:instrText>
          </w:r>
          <w:r>
            <w:rPr>
              <w:rFonts w:hint="eastAsia" w:ascii="楷体" w:hAnsi="楷体" w:eastAsia="楷体" w:cs="楷体"/>
              <w:sz w:val="24"/>
              <w:szCs w:val="24"/>
            </w:rPr>
            <w:fldChar w:fldCharType="separate"/>
          </w:r>
          <w:r>
            <w:rPr>
              <w:rFonts w:hint="eastAsia" w:ascii="楷体" w:hAnsi="楷体" w:eastAsia="楷体" w:cs="楷体"/>
              <w:sz w:val="24"/>
              <w:szCs w:val="24"/>
            </w:rPr>
            <w:t>2</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_Toc19027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2</w:t>
          </w:r>
          <w:r>
            <w:rPr>
              <w:rFonts w:hint="eastAsia" w:ascii="黑体" w:hAnsi="黑体" w:eastAsia="黑体" w:cs="黑体"/>
              <w:sz w:val="24"/>
              <w:szCs w:val="24"/>
            </w:rPr>
            <w:t>启动条件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_Toc19027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_Toc5948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2.1</w:t>
          </w:r>
          <w:r>
            <w:rPr>
              <w:rFonts w:hint="eastAsia" w:ascii="楷体" w:hAnsi="楷体" w:eastAsia="楷体" w:cs="楷体"/>
              <w:sz w:val="24"/>
              <w:szCs w:val="24"/>
            </w:rPr>
            <w:t>预案启动的条件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_Toc5948 </w:instrText>
          </w:r>
          <w:r>
            <w:rPr>
              <w:rFonts w:hint="eastAsia" w:ascii="楷体" w:hAnsi="楷体" w:eastAsia="楷体" w:cs="楷体"/>
              <w:sz w:val="24"/>
              <w:szCs w:val="24"/>
            </w:rPr>
            <w:fldChar w:fldCharType="separate"/>
          </w:r>
          <w:r>
            <w:rPr>
              <w:rFonts w:hint="eastAsia" w:ascii="楷体" w:hAnsi="楷体" w:eastAsia="楷体" w:cs="楷体"/>
              <w:sz w:val="24"/>
              <w:szCs w:val="24"/>
            </w:rPr>
            <w:t>2</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_Toc6674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2.2</w:t>
          </w:r>
          <w:r>
            <w:rPr>
              <w:rFonts w:hint="eastAsia" w:ascii="楷体" w:hAnsi="楷体" w:eastAsia="楷体" w:cs="楷体"/>
              <w:sz w:val="24"/>
              <w:szCs w:val="24"/>
            </w:rPr>
            <w:t>预案启动的方式</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_Toc6674 </w:instrText>
          </w:r>
          <w:r>
            <w:rPr>
              <w:rFonts w:hint="eastAsia" w:ascii="楷体" w:hAnsi="楷体" w:eastAsia="楷体" w:cs="楷体"/>
              <w:sz w:val="24"/>
              <w:szCs w:val="24"/>
            </w:rPr>
            <w:fldChar w:fldCharType="separate"/>
          </w:r>
          <w:r>
            <w:rPr>
              <w:rFonts w:hint="eastAsia" w:ascii="楷体" w:hAnsi="楷体" w:eastAsia="楷体" w:cs="楷体"/>
              <w:sz w:val="24"/>
              <w:szCs w:val="24"/>
            </w:rPr>
            <w:t>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_Toc12689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2.3</w:t>
          </w:r>
          <w:r>
            <w:rPr>
              <w:rFonts w:hint="eastAsia" w:ascii="楷体" w:hAnsi="楷体" w:eastAsia="楷体" w:cs="楷体"/>
              <w:sz w:val="24"/>
              <w:szCs w:val="24"/>
            </w:rPr>
            <w:t>琼山区自然灾害风险分析</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_Toc12689 </w:instrText>
          </w:r>
          <w:r>
            <w:rPr>
              <w:rFonts w:hint="eastAsia" w:ascii="楷体" w:hAnsi="楷体" w:eastAsia="楷体" w:cs="楷体"/>
              <w:sz w:val="24"/>
              <w:szCs w:val="24"/>
            </w:rPr>
            <w:fldChar w:fldCharType="separate"/>
          </w:r>
          <w:r>
            <w:rPr>
              <w:rFonts w:hint="eastAsia" w:ascii="楷体" w:hAnsi="楷体" w:eastAsia="楷体" w:cs="楷体"/>
              <w:sz w:val="24"/>
              <w:szCs w:val="24"/>
            </w:rPr>
            <w:t>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_Toc13567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3</w:t>
          </w:r>
          <w:r>
            <w:rPr>
              <w:rFonts w:hint="eastAsia" w:ascii="黑体" w:hAnsi="黑体" w:eastAsia="黑体" w:cs="黑体"/>
              <w:sz w:val="24"/>
              <w:szCs w:val="24"/>
            </w:rPr>
            <w:t>组织指挥体系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_Toc13567 </w:instrText>
          </w:r>
          <w:r>
            <w:rPr>
              <w:rFonts w:hint="eastAsia" w:ascii="黑体" w:hAnsi="黑体" w:eastAsia="黑体" w:cs="黑体"/>
              <w:sz w:val="24"/>
              <w:szCs w:val="24"/>
            </w:rPr>
            <w:fldChar w:fldCharType="separate"/>
          </w:r>
          <w:r>
            <w:rPr>
              <w:rFonts w:hint="eastAsia" w:ascii="黑体" w:hAnsi="黑体" w:eastAsia="黑体" w:cs="黑体"/>
              <w:sz w:val="24"/>
              <w:szCs w:val="24"/>
            </w:rPr>
            <w:t>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_Toc3877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3.1</w:t>
          </w:r>
          <w:r>
            <w:rPr>
              <w:rFonts w:hint="eastAsia" w:ascii="楷体" w:hAnsi="楷体" w:eastAsia="楷体" w:cs="楷体"/>
              <w:sz w:val="24"/>
              <w:szCs w:val="24"/>
            </w:rPr>
            <w:t>琼山区减灾委员会</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_Toc3877 </w:instrText>
          </w:r>
          <w:r>
            <w:rPr>
              <w:rFonts w:hint="eastAsia" w:ascii="楷体" w:hAnsi="楷体" w:eastAsia="楷体" w:cs="楷体"/>
              <w:sz w:val="24"/>
              <w:szCs w:val="24"/>
            </w:rPr>
            <w:fldChar w:fldCharType="separate"/>
          </w:r>
          <w:r>
            <w:rPr>
              <w:rFonts w:hint="eastAsia" w:ascii="楷体" w:hAnsi="楷体" w:eastAsia="楷体" w:cs="楷体"/>
              <w:sz w:val="24"/>
              <w:szCs w:val="24"/>
            </w:rPr>
            <w:t>5</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_Toc19667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3.2</w:t>
          </w:r>
          <w:r>
            <w:rPr>
              <w:rFonts w:hint="eastAsia" w:ascii="楷体" w:hAnsi="楷体" w:eastAsia="楷体" w:cs="楷体"/>
              <w:sz w:val="24"/>
              <w:szCs w:val="24"/>
            </w:rPr>
            <w:t>琼山区减灾委员会成员单位职责</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_Toc19667 </w:instrText>
          </w:r>
          <w:r>
            <w:rPr>
              <w:rFonts w:hint="eastAsia" w:ascii="楷体" w:hAnsi="楷体" w:eastAsia="楷体" w:cs="楷体"/>
              <w:sz w:val="24"/>
              <w:szCs w:val="24"/>
            </w:rPr>
            <w:fldChar w:fldCharType="separate"/>
          </w:r>
          <w:r>
            <w:rPr>
              <w:rFonts w:hint="eastAsia" w:ascii="楷体" w:hAnsi="楷体" w:eastAsia="楷体" w:cs="楷体"/>
              <w:sz w:val="24"/>
              <w:szCs w:val="24"/>
            </w:rPr>
            <w:t>6</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_Toc790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4</w:t>
          </w:r>
          <w:r>
            <w:rPr>
              <w:rFonts w:hint="eastAsia" w:ascii="黑体" w:hAnsi="黑体" w:eastAsia="黑体" w:cs="黑体"/>
              <w:sz w:val="24"/>
              <w:szCs w:val="24"/>
            </w:rPr>
            <w:t>灾害预警响应</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_Toc790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_Toc22361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4.1</w:t>
          </w:r>
          <w:r>
            <w:rPr>
              <w:rFonts w:hint="eastAsia" w:ascii="楷体" w:hAnsi="楷体" w:eastAsia="楷体" w:cs="楷体"/>
              <w:sz w:val="24"/>
              <w:szCs w:val="24"/>
            </w:rPr>
            <w:t>灾害预警预报</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_Toc22361 </w:instrText>
          </w:r>
          <w:r>
            <w:rPr>
              <w:rFonts w:hint="eastAsia" w:ascii="楷体" w:hAnsi="楷体" w:eastAsia="楷体" w:cs="楷体"/>
              <w:sz w:val="24"/>
              <w:szCs w:val="24"/>
            </w:rPr>
            <w:fldChar w:fldCharType="separate"/>
          </w:r>
          <w:r>
            <w:rPr>
              <w:rFonts w:hint="eastAsia" w:ascii="楷体" w:hAnsi="楷体" w:eastAsia="楷体" w:cs="楷体"/>
              <w:sz w:val="24"/>
              <w:szCs w:val="24"/>
            </w:rPr>
            <w:t>9</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_Toc26270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4.2</w:t>
          </w:r>
          <w:r>
            <w:rPr>
              <w:rFonts w:hint="eastAsia" w:ascii="楷体" w:hAnsi="楷体" w:eastAsia="楷体" w:cs="楷体"/>
              <w:sz w:val="24"/>
              <w:szCs w:val="24"/>
            </w:rPr>
            <w:t>灾害信息共享</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_Toc26270 </w:instrText>
          </w:r>
          <w:r>
            <w:rPr>
              <w:rFonts w:hint="eastAsia" w:ascii="楷体" w:hAnsi="楷体" w:eastAsia="楷体" w:cs="楷体"/>
              <w:sz w:val="24"/>
              <w:szCs w:val="24"/>
            </w:rPr>
            <w:fldChar w:fldCharType="separate"/>
          </w:r>
          <w:r>
            <w:rPr>
              <w:rFonts w:hint="eastAsia" w:ascii="楷体" w:hAnsi="楷体" w:eastAsia="楷体" w:cs="楷体"/>
              <w:sz w:val="24"/>
              <w:szCs w:val="24"/>
            </w:rPr>
            <w:t>10</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_Toc270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5</w:t>
          </w:r>
          <w:r>
            <w:rPr>
              <w:rFonts w:hint="eastAsia" w:ascii="黑体" w:hAnsi="黑体" w:eastAsia="黑体" w:cs="黑体"/>
              <w:sz w:val="24"/>
              <w:szCs w:val="24"/>
            </w:rPr>
            <w:t>信息报告和发布</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_Toc270 </w:instrText>
          </w:r>
          <w:r>
            <w:rPr>
              <w:rFonts w:hint="eastAsia" w:ascii="黑体" w:hAnsi="黑体" w:eastAsia="黑体" w:cs="黑体"/>
              <w:sz w:val="24"/>
              <w:szCs w:val="24"/>
            </w:rPr>
            <w:fldChar w:fldCharType="separate"/>
          </w:r>
          <w:r>
            <w:rPr>
              <w:rFonts w:hint="eastAsia" w:ascii="黑体" w:hAnsi="黑体" w:eastAsia="黑体" w:cs="黑体"/>
              <w:sz w:val="24"/>
              <w:szCs w:val="24"/>
            </w:rPr>
            <w:t>10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_Toc21428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5.1</w:t>
          </w:r>
          <w:r>
            <w:rPr>
              <w:rFonts w:hint="eastAsia" w:ascii="楷体" w:hAnsi="楷体" w:eastAsia="楷体" w:cs="楷体"/>
              <w:sz w:val="24"/>
              <w:szCs w:val="24"/>
            </w:rPr>
            <w:t>灾情信息报送</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_Toc21428 </w:instrText>
          </w:r>
          <w:r>
            <w:rPr>
              <w:rFonts w:hint="eastAsia" w:ascii="楷体" w:hAnsi="楷体" w:eastAsia="楷体" w:cs="楷体"/>
              <w:sz w:val="24"/>
              <w:szCs w:val="24"/>
            </w:rPr>
            <w:fldChar w:fldCharType="separate"/>
          </w:r>
          <w:r>
            <w:rPr>
              <w:rFonts w:hint="eastAsia" w:ascii="楷体" w:hAnsi="楷体" w:eastAsia="楷体" w:cs="楷体"/>
              <w:sz w:val="24"/>
              <w:szCs w:val="24"/>
            </w:rPr>
            <w:t>10</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_Toc17880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5.2</w:t>
          </w:r>
          <w:r>
            <w:rPr>
              <w:rFonts w:hint="eastAsia" w:ascii="楷体" w:hAnsi="楷体" w:eastAsia="楷体" w:cs="楷体"/>
              <w:sz w:val="24"/>
              <w:szCs w:val="24"/>
            </w:rPr>
            <w:t>灾情信息管理</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_Toc17880 </w:instrText>
          </w:r>
          <w:r>
            <w:rPr>
              <w:rFonts w:hint="eastAsia" w:ascii="楷体" w:hAnsi="楷体" w:eastAsia="楷体" w:cs="楷体"/>
              <w:sz w:val="24"/>
              <w:szCs w:val="24"/>
            </w:rPr>
            <w:fldChar w:fldCharType="separate"/>
          </w:r>
          <w:r>
            <w:rPr>
              <w:rFonts w:hint="eastAsia" w:ascii="楷体" w:hAnsi="楷体" w:eastAsia="楷体" w:cs="楷体"/>
              <w:sz w:val="24"/>
              <w:szCs w:val="24"/>
            </w:rPr>
            <w:t>11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_Toc345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5.3</w:t>
          </w:r>
          <w:r>
            <w:rPr>
              <w:rFonts w:hint="eastAsia" w:ascii="楷体" w:hAnsi="楷体" w:eastAsia="楷体" w:cs="楷体"/>
              <w:sz w:val="24"/>
              <w:szCs w:val="24"/>
            </w:rPr>
            <w:t>灾情信息发布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_Toc345 </w:instrText>
          </w:r>
          <w:r>
            <w:rPr>
              <w:rFonts w:hint="eastAsia" w:ascii="楷体" w:hAnsi="楷体" w:eastAsia="楷体" w:cs="楷体"/>
              <w:sz w:val="24"/>
              <w:szCs w:val="24"/>
            </w:rPr>
            <w:fldChar w:fldCharType="separate"/>
          </w:r>
          <w:r>
            <w:rPr>
              <w:rFonts w:hint="eastAsia" w:ascii="楷体" w:hAnsi="楷体" w:eastAsia="楷体" w:cs="楷体"/>
              <w:sz w:val="24"/>
              <w:szCs w:val="24"/>
            </w:rPr>
            <w:t>11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_Toc26750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6</w:t>
          </w:r>
          <w:r>
            <w:rPr>
              <w:rFonts w:hint="eastAsia" w:ascii="黑体" w:hAnsi="黑体" w:eastAsia="黑体" w:cs="黑体"/>
              <w:sz w:val="24"/>
              <w:szCs w:val="24"/>
            </w:rPr>
            <w:t>应急响应</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_Toc26750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_Toc14276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6.1</w:t>
          </w:r>
          <w:r>
            <w:rPr>
              <w:rFonts w:hint="eastAsia" w:ascii="楷体" w:hAnsi="楷体" w:eastAsia="楷体" w:cs="楷体"/>
              <w:sz w:val="24"/>
              <w:szCs w:val="24"/>
            </w:rPr>
            <w:t>Ⅳ级响应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_Toc14276 </w:instrText>
          </w:r>
          <w:r>
            <w:rPr>
              <w:rFonts w:hint="eastAsia" w:ascii="楷体" w:hAnsi="楷体" w:eastAsia="楷体" w:cs="楷体"/>
              <w:sz w:val="24"/>
              <w:szCs w:val="24"/>
            </w:rPr>
            <w:fldChar w:fldCharType="separate"/>
          </w:r>
          <w:r>
            <w:rPr>
              <w:rFonts w:hint="eastAsia" w:ascii="楷体" w:hAnsi="楷体" w:eastAsia="楷体" w:cs="楷体"/>
              <w:sz w:val="24"/>
              <w:szCs w:val="24"/>
            </w:rPr>
            <w:t>12</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_Toc1728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6.2</w:t>
          </w:r>
          <w:r>
            <w:rPr>
              <w:rFonts w:hint="eastAsia" w:ascii="楷体" w:hAnsi="楷体" w:eastAsia="楷体" w:cs="楷体"/>
              <w:sz w:val="24"/>
              <w:szCs w:val="24"/>
            </w:rPr>
            <w:t>Ⅲ级响应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_Toc1728 </w:instrText>
          </w:r>
          <w:r>
            <w:rPr>
              <w:rFonts w:hint="eastAsia" w:ascii="楷体" w:hAnsi="楷体" w:eastAsia="楷体" w:cs="楷体"/>
              <w:sz w:val="24"/>
              <w:szCs w:val="24"/>
            </w:rPr>
            <w:fldChar w:fldCharType="separate"/>
          </w:r>
          <w:r>
            <w:rPr>
              <w:rFonts w:hint="eastAsia" w:ascii="楷体" w:hAnsi="楷体" w:eastAsia="楷体" w:cs="楷体"/>
              <w:sz w:val="24"/>
              <w:szCs w:val="24"/>
            </w:rPr>
            <w:t>13</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_Toc17041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6.3</w:t>
          </w:r>
          <w:r>
            <w:rPr>
              <w:rFonts w:hint="eastAsia" w:ascii="楷体" w:hAnsi="楷体" w:eastAsia="楷体" w:cs="楷体"/>
              <w:sz w:val="24"/>
              <w:szCs w:val="24"/>
            </w:rPr>
            <w:t>Ⅱ级响应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_Toc17041 </w:instrText>
          </w:r>
          <w:r>
            <w:rPr>
              <w:rFonts w:hint="eastAsia" w:ascii="楷体" w:hAnsi="楷体" w:eastAsia="楷体" w:cs="楷体"/>
              <w:sz w:val="24"/>
              <w:szCs w:val="24"/>
            </w:rPr>
            <w:fldChar w:fldCharType="separate"/>
          </w:r>
          <w:r>
            <w:rPr>
              <w:rFonts w:hint="eastAsia" w:ascii="楷体" w:hAnsi="楷体" w:eastAsia="楷体" w:cs="楷体"/>
              <w:sz w:val="24"/>
              <w:szCs w:val="24"/>
            </w:rPr>
            <w:t>15</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_Toc14141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6.4</w:t>
          </w:r>
          <w:r>
            <w:rPr>
              <w:rFonts w:hint="eastAsia" w:ascii="楷体" w:hAnsi="楷体" w:eastAsia="楷体" w:cs="楷体"/>
              <w:sz w:val="24"/>
              <w:szCs w:val="24"/>
            </w:rPr>
            <w:t>Ⅰ级响应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_Toc14141 </w:instrText>
          </w:r>
          <w:r>
            <w:rPr>
              <w:rFonts w:hint="eastAsia" w:ascii="楷体" w:hAnsi="楷体" w:eastAsia="楷体" w:cs="楷体"/>
              <w:sz w:val="24"/>
              <w:szCs w:val="24"/>
            </w:rPr>
            <w:fldChar w:fldCharType="separate"/>
          </w:r>
          <w:r>
            <w:rPr>
              <w:rFonts w:hint="eastAsia" w:ascii="楷体" w:hAnsi="楷体" w:eastAsia="楷体" w:cs="楷体"/>
              <w:sz w:val="24"/>
              <w:szCs w:val="24"/>
            </w:rPr>
            <w:t>16</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_Toc14733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6.5</w:t>
          </w:r>
          <w:r>
            <w:rPr>
              <w:rFonts w:hint="eastAsia" w:ascii="楷体" w:hAnsi="楷体" w:eastAsia="楷体" w:cs="楷体"/>
              <w:sz w:val="24"/>
              <w:szCs w:val="24"/>
            </w:rPr>
            <w:t>响应终止</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_Toc14733 </w:instrText>
          </w:r>
          <w:r>
            <w:rPr>
              <w:rFonts w:hint="eastAsia" w:ascii="楷体" w:hAnsi="楷体" w:eastAsia="楷体" w:cs="楷体"/>
              <w:sz w:val="24"/>
              <w:szCs w:val="24"/>
            </w:rPr>
            <w:fldChar w:fldCharType="separate"/>
          </w:r>
          <w:r>
            <w:rPr>
              <w:rFonts w:hint="eastAsia" w:ascii="楷体" w:hAnsi="楷体" w:eastAsia="楷体" w:cs="楷体"/>
              <w:sz w:val="24"/>
              <w:szCs w:val="24"/>
            </w:rPr>
            <w:t>18</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_Toc18319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7</w:t>
          </w:r>
          <w:r>
            <w:rPr>
              <w:rFonts w:hint="eastAsia" w:ascii="黑体" w:hAnsi="黑体" w:eastAsia="黑体" w:cs="黑体"/>
              <w:sz w:val="24"/>
              <w:szCs w:val="24"/>
            </w:rPr>
            <w:t>灾后救助与恢复重建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_Toc18319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_Toc31973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7.1</w:t>
          </w:r>
          <w:r>
            <w:rPr>
              <w:rFonts w:hint="eastAsia" w:ascii="楷体" w:hAnsi="楷体" w:eastAsia="楷体" w:cs="楷体"/>
              <w:sz w:val="24"/>
              <w:szCs w:val="24"/>
            </w:rPr>
            <w:t>过渡期生活救助</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_Toc31973 </w:instrText>
          </w:r>
          <w:r>
            <w:rPr>
              <w:rFonts w:hint="eastAsia" w:ascii="楷体" w:hAnsi="楷体" w:eastAsia="楷体" w:cs="楷体"/>
              <w:sz w:val="24"/>
              <w:szCs w:val="24"/>
            </w:rPr>
            <w:fldChar w:fldCharType="separate"/>
          </w:r>
          <w:r>
            <w:rPr>
              <w:rFonts w:hint="eastAsia" w:ascii="楷体" w:hAnsi="楷体" w:eastAsia="楷体" w:cs="楷体"/>
              <w:sz w:val="24"/>
              <w:szCs w:val="24"/>
            </w:rPr>
            <w:t>18</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_Toc9283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7.2</w:t>
          </w:r>
          <w:r>
            <w:rPr>
              <w:rFonts w:hint="eastAsia" w:ascii="楷体" w:hAnsi="楷体" w:eastAsia="楷体" w:cs="楷体"/>
              <w:sz w:val="24"/>
              <w:szCs w:val="24"/>
            </w:rPr>
            <w:t>灾害救助</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_Toc9283 </w:instrText>
          </w:r>
          <w:r>
            <w:rPr>
              <w:rFonts w:hint="eastAsia" w:ascii="楷体" w:hAnsi="楷体" w:eastAsia="楷体" w:cs="楷体"/>
              <w:sz w:val="24"/>
              <w:szCs w:val="24"/>
            </w:rPr>
            <w:fldChar w:fldCharType="separate"/>
          </w:r>
          <w:r>
            <w:rPr>
              <w:rFonts w:hint="eastAsia" w:ascii="楷体" w:hAnsi="楷体" w:eastAsia="楷体" w:cs="楷体"/>
              <w:sz w:val="24"/>
              <w:szCs w:val="24"/>
            </w:rPr>
            <w:t>18</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_Toc26553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7.3</w:t>
          </w:r>
          <w:r>
            <w:rPr>
              <w:rFonts w:hint="eastAsia" w:ascii="楷体" w:hAnsi="楷体" w:eastAsia="楷体" w:cs="楷体"/>
              <w:sz w:val="24"/>
              <w:szCs w:val="24"/>
            </w:rPr>
            <w:t>倒损住房恢复重建</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_Toc26553 </w:instrText>
          </w:r>
          <w:r>
            <w:rPr>
              <w:rFonts w:hint="eastAsia" w:ascii="楷体" w:hAnsi="楷体" w:eastAsia="楷体" w:cs="楷体"/>
              <w:sz w:val="24"/>
              <w:szCs w:val="24"/>
            </w:rPr>
            <w:fldChar w:fldCharType="separate"/>
          </w:r>
          <w:r>
            <w:rPr>
              <w:rFonts w:hint="eastAsia" w:ascii="楷体" w:hAnsi="楷体" w:eastAsia="楷体" w:cs="楷体"/>
              <w:sz w:val="24"/>
              <w:szCs w:val="24"/>
            </w:rPr>
            <w:t>19</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_Toc408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8</w:t>
          </w:r>
          <w:r>
            <w:rPr>
              <w:rFonts w:hint="eastAsia" w:ascii="黑体" w:hAnsi="黑体" w:eastAsia="黑体" w:cs="黑体"/>
              <w:sz w:val="24"/>
              <w:szCs w:val="24"/>
            </w:rPr>
            <w:t>保障</w:t>
          </w:r>
          <w:r>
            <w:rPr>
              <w:rFonts w:hint="eastAsia" w:ascii="黑体" w:hAnsi="黑体" w:eastAsia="黑体" w:cs="黑体"/>
              <w:sz w:val="24"/>
              <w:szCs w:val="24"/>
              <w:lang w:val="en-US"/>
            </w:rPr>
            <w:t>措施</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_Toc408 </w:instrText>
          </w:r>
          <w:r>
            <w:rPr>
              <w:rFonts w:hint="eastAsia" w:ascii="黑体" w:hAnsi="黑体" w:eastAsia="黑体" w:cs="黑体"/>
              <w:sz w:val="24"/>
              <w:szCs w:val="24"/>
            </w:rPr>
            <w:fldChar w:fldCharType="separate"/>
          </w:r>
          <w:r>
            <w:rPr>
              <w:rFonts w:hint="eastAsia" w:ascii="黑体" w:hAnsi="黑体" w:eastAsia="黑体" w:cs="黑体"/>
              <w:sz w:val="24"/>
              <w:szCs w:val="24"/>
            </w:rPr>
            <w:t>20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_Toc5222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8.1</w:t>
          </w:r>
          <w:r>
            <w:rPr>
              <w:rFonts w:hint="eastAsia" w:ascii="楷体" w:hAnsi="楷体" w:eastAsia="楷体" w:cs="楷体"/>
              <w:sz w:val="24"/>
              <w:szCs w:val="24"/>
            </w:rPr>
            <w:t>组织保障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_Toc5222 </w:instrText>
          </w:r>
          <w:r>
            <w:rPr>
              <w:rFonts w:hint="eastAsia" w:ascii="楷体" w:hAnsi="楷体" w:eastAsia="楷体" w:cs="楷体"/>
              <w:sz w:val="24"/>
              <w:szCs w:val="24"/>
            </w:rPr>
            <w:fldChar w:fldCharType="separate"/>
          </w:r>
          <w:r>
            <w:rPr>
              <w:rFonts w:hint="eastAsia" w:ascii="楷体" w:hAnsi="楷体" w:eastAsia="楷体" w:cs="楷体"/>
              <w:sz w:val="24"/>
              <w:szCs w:val="24"/>
            </w:rPr>
            <w:t>20</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_Toc21289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8.2</w:t>
          </w:r>
          <w:r>
            <w:rPr>
              <w:rFonts w:hint="eastAsia" w:ascii="楷体" w:hAnsi="楷体" w:eastAsia="楷体" w:cs="楷体"/>
              <w:sz w:val="24"/>
              <w:szCs w:val="24"/>
            </w:rPr>
            <w:t>资金保障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_Toc21289 </w:instrText>
          </w:r>
          <w:r>
            <w:rPr>
              <w:rFonts w:hint="eastAsia" w:ascii="楷体" w:hAnsi="楷体" w:eastAsia="楷体" w:cs="楷体"/>
              <w:sz w:val="24"/>
              <w:szCs w:val="24"/>
            </w:rPr>
            <w:fldChar w:fldCharType="separate"/>
          </w:r>
          <w:r>
            <w:rPr>
              <w:rFonts w:hint="eastAsia" w:ascii="楷体" w:hAnsi="楷体" w:eastAsia="楷体" w:cs="楷体"/>
              <w:sz w:val="24"/>
              <w:szCs w:val="24"/>
            </w:rPr>
            <w:t>20</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_Toc10246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8.3</w:t>
          </w:r>
          <w:r>
            <w:rPr>
              <w:rFonts w:hint="eastAsia" w:ascii="楷体" w:hAnsi="楷体" w:eastAsia="楷体" w:cs="楷体"/>
              <w:sz w:val="24"/>
              <w:szCs w:val="24"/>
            </w:rPr>
            <w:t>物资保障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_Toc10246 </w:instrText>
          </w:r>
          <w:r>
            <w:rPr>
              <w:rFonts w:hint="eastAsia" w:ascii="楷体" w:hAnsi="楷体" w:eastAsia="楷体" w:cs="楷体"/>
              <w:sz w:val="24"/>
              <w:szCs w:val="24"/>
            </w:rPr>
            <w:fldChar w:fldCharType="separate"/>
          </w:r>
          <w:r>
            <w:rPr>
              <w:rFonts w:hint="eastAsia" w:ascii="楷体" w:hAnsi="楷体" w:eastAsia="楷体" w:cs="楷体"/>
              <w:sz w:val="24"/>
              <w:szCs w:val="24"/>
            </w:rPr>
            <w:t>21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_Toc20974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8.4</w:t>
          </w:r>
          <w:r>
            <w:rPr>
              <w:rFonts w:hint="eastAsia" w:ascii="楷体" w:hAnsi="楷体" w:eastAsia="楷体" w:cs="楷体"/>
              <w:sz w:val="24"/>
              <w:szCs w:val="24"/>
            </w:rPr>
            <w:t>装备和设施保障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_Toc20974 </w:instrText>
          </w:r>
          <w:r>
            <w:rPr>
              <w:rFonts w:hint="eastAsia" w:ascii="楷体" w:hAnsi="楷体" w:eastAsia="楷体" w:cs="楷体"/>
              <w:sz w:val="24"/>
              <w:szCs w:val="24"/>
            </w:rPr>
            <w:fldChar w:fldCharType="separate"/>
          </w:r>
          <w:r>
            <w:rPr>
              <w:rFonts w:hint="eastAsia" w:ascii="楷体" w:hAnsi="楷体" w:eastAsia="楷体" w:cs="楷体"/>
              <w:sz w:val="24"/>
              <w:szCs w:val="24"/>
            </w:rPr>
            <w:t>21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_Toc1775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8.5</w:t>
          </w:r>
          <w:r>
            <w:rPr>
              <w:rFonts w:hint="eastAsia" w:ascii="楷体" w:hAnsi="楷体" w:eastAsia="楷体" w:cs="楷体"/>
              <w:sz w:val="24"/>
              <w:szCs w:val="24"/>
            </w:rPr>
            <w:t>人力资源保障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_Toc1775 </w:instrText>
          </w:r>
          <w:r>
            <w:rPr>
              <w:rFonts w:hint="eastAsia" w:ascii="楷体" w:hAnsi="楷体" w:eastAsia="楷体" w:cs="楷体"/>
              <w:sz w:val="24"/>
              <w:szCs w:val="24"/>
            </w:rPr>
            <w:fldChar w:fldCharType="separate"/>
          </w:r>
          <w:r>
            <w:rPr>
              <w:rFonts w:hint="eastAsia" w:ascii="楷体" w:hAnsi="楷体" w:eastAsia="楷体" w:cs="楷体"/>
              <w:sz w:val="24"/>
              <w:szCs w:val="24"/>
            </w:rPr>
            <w:t>22</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_Toc2867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8.6</w:t>
          </w:r>
          <w:r>
            <w:rPr>
              <w:rFonts w:hint="eastAsia" w:ascii="楷体" w:hAnsi="楷体" w:eastAsia="楷体" w:cs="楷体"/>
              <w:sz w:val="24"/>
              <w:szCs w:val="24"/>
            </w:rPr>
            <w:t>社会动员保障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_Toc2867 </w:instrText>
          </w:r>
          <w:r>
            <w:rPr>
              <w:rFonts w:hint="eastAsia" w:ascii="楷体" w:hAnsi="楷体" w:eastAsia="楷体" w:cs="楷体"/>
              <w:sz w:val="24"/>
              <w:szCs w:val="24"/>
            </w:rPr>
            <w:fldChar w:fldCharType="separate"/>
          </w:r>
          <w:r>
            <w:rPr>
              <w:rFonts w:hint="eastAsia" w:ascii="楷体" w:hAnsi="楷体" w:eastAsia="楷体" w:cs="楷体"/>
              <w:sz w:val="24"/>
              <w:szCs w:val="24"/>
            </w:rPr>
            <w:t>22</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_Toc8766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8.7</w:t>
          </w:r>
          <w:r>
            <w:rPr>
              <w:rFonts w:hint="eastAsia" w:ascii="楷体" w:hAnsi="楷体" w:eastAsia="楷体" w:cs="楷体"/>
              <w:sz w:val="24"/>
              <w:szCs w:val="24"/>
            </w:rPr>
            <w:t>科技保障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_Toc8766 </w:instrText>
          </w:r>
          <w:r>
            <w:rPr>
              <w:rFonts w:hint="eastAsia" w:ascii="楷体" w:hAnsi="楷体" w:eastAsia="楷体" w:cs="楷体"/>
              <w:sz w:val="24"/>
              <w:szCs w:val="24"/>
            </w:rPr>
            <w:fldChar w:fldCharType="separate"/>
          </w:r>
          <w:r>
            <w:rPr>
              <w:rFonts w:hint="eastAsia" w:ascii="楷体" w:hAnsi="楷体" w:eastAsia="楷体" w:cs="楷体"/>
              <w:sz w:val="24"/>
              <w:szCs w:val="24"/>
            </w:rPr>
            <w:t>22</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_Toc2179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8.8</w:t>
          </w:r>
          <w:r>
            <w:rPr>
              <w:rFonts w:hint="eastAsia" w:ascii="楷体" w:hAnsi="楷体" w:eastAsia="楷体" w:cs="楷体"/>
              <w:sz w:val="24"/>
              <w:szCs w:val="24"/>
            </w:rPr>
            <w:t>宣传和培训</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_Toc2179 </w:instrText>
          </w:r>
          <w:r>
            <w:rPr>
              <w:rFonts w:hint="eastAsia" w:ascii="楷体" w:hAnsi="楷体" w:eastAsia="楷体" w:cs="楷体"/>
              <w:sz w:val="24"/>
              <w:szCs w:val="24"/>
            </w:rPr>
            <w:fldChar w:fldCharType="separate"/>
          </w:r>
          <w:r>
            <w:rPr>
              <w:rFonts w:hint="eastAsia" w:ascii="楷体" w:hAnsi="楷体" w:eastAsia="楷体" w:cs="楷体"/>
              <w:sz w:val="24"/>
              <w:szCs w:val="24"/>
            </w:rPr>
            <w:t>23</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_Toc20149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9</w:t>
          </w:r>
          <w:r>
            <w:rPr>
              <w:rFonts w:hint="eastAsia" w:ascii="黑体" w:hAnsi="黑体" w:eastAsia="黑体" w:cs="黑体"/>
              <w:sz w:val="24"/>
              <w:szCs w:val="24"/>
            </w:rPr>
            <w:t>预案管理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_Toc20149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_Toc24462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9.1</w:t>
          </w:r>
          <w:r>
            <w:rPr>
              <w:rFonts w:hint="eastAsia" w:ascii="楷体" w:hAnsi="楷体" w:eastAsia="楷体" w:cs="楷体"/>
              <w:sz w:val="24"/>
              <w:szCs w:val="24"/>
            </w:rPr>
            <w:t>预案演练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_Toc24462 </w:instrText>
          </w:r>
          <w:r>
            <w:rPr>
              <w:rFonts w:hint="eastAsia" w:ascii="楷体" w:hAnsi="楷体" w:eastAsia="楷体" w:cs="楷体"/>
              <w:sz w:val="24"/>
              <w:szCs w:val="24"/>
            </w:rPr>
            <w:fldChar w:fldCharType="separate"/>
          </w:r>
          <w:r>
            <w:rPr>
              <w:rFonts w:hint="eastAsia" w:ascii="楷体" w:hAnsi="楷体" w:eastAsia="楷体" w:cs="楷体"/>
              <w:sz w:val="24"/>
              <w:szCs w:val="24"/>
            </w:rPr>
            <w:t>23</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_Toc22377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9.2</w:t>
          </w:r>
          <w:r>
            <w:rPr>
              <w:rFonts w:hint="eastAsia" w:ascii="楷体" w:hAnsi="楷体" w:eastAsia="楷体" w:cs="楷体"/>
              <w:sz w:val="24"/>
              <w:szCs w:val="24"/>
            </w:rPr>
            <w:t>预案的管理和更新</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_Toc22377 </w:instrText>
          </w:r>
          <w:r>
            <w:rPr>
              <w:rFonts w:hint="eastAsia" w:ascii="楷体" w:hAnsi="楷体" w:eastAsia="楷体" w:cs="楷体"/>
              <w:sz w:val="24"/>
              <w:szCs w:val="24"/>
            </w:rPr>
            <w:fldChar w:fldCharType="separate"/>
          </w:r>
          <w:r>
            <w:rPr>
              <w:rFonts w:hint="eastAsia" w:ascii="楷体" w:hAnsi="楷体" w:eastAsia="楷体" w:cs="楷体"/>
              <w:sz w:val="24"/>
              <w:szCs w:val="24"/>
            </w:rPr>
            <w:t>23</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_Toc12945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10</w:t>
          </w:r>
          <w:r>
            <w:rPr>
              <w:rFonts w:hint="eastAsia" w:ascii="黑体" w:hAnsi="黑体" w:eastAsia="黑体" w:cs="黑体"/>
              <w:sz w:val="24"/>
              <w:szCs w:val="24"/>
              <w:lang w:val="en-US"/>
            </w:rPr>
            <w:t>奖励与惩罚</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_Toc12945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0"/>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_Toc21278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11</w:t>
          </w:r>
          <w:r>
            <w:rPr>
              <w:rFonts w:hint="eastAsia" w:ascii="黑体" w:hAnsi="黑体" w:eastAsia="黑体" w:cs="黑体"/>
              <w:sz w:val="24"/>
              <w:szCs w:val="24"/>
              <w:lang w:val="en-US"/>
            </w:rPr>
            <w:t>附则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_Toc21278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_Toc11478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11.1</w:t>
          </w:r>
          <w:r>
            <w:rPr>
              <w:rFonts w:hint="eastAsia" w:ascii="楷体" w:hAnsi="楷体" w:eastAsia="楷体" w:cs="楷体"/>
              <w:sz w:val="24"/>
              <w:szCs w:val="24"/>
            </w:rPr>
            <w:t>预案解释</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_Toc11478 </w:instrText>
          </w:r>
          <w:r>
            <w:rPr>
              <w:rFonts w:hint="eastAsia" w:ascii="楷体" w:hAnsi="楷体" w:eastAsia="楷体" w:cs="楷体"/>
              <w:sz w:val="24"/>
              <w:szCs w:val="24"/>
            </w:rPr>
            <w:fldChar w:fldCharType="separate"/>
          </w:r>
          <w:r>
            <w:rPr>
              <w:rFonts w:hint="eastAsia" w:ascii="楷体" w:hAnsi="楷体" w:eastAsia="楷体" w:cs="楷体"/>
              <w:sz w:val="24"/>
              <w:szCs w:val="24"/>
            </w:rPr>
            <w:t>24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8"/>
            <w:tabs>
              <w:tab w:val="right" w:leader="dot" w:pos="9070"/>
            </w:tabs>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_Toc14657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11.2</w:t>
          </w:r>
          <w:r>
            <w:rPr>
              <w:rFonts w:hint="eastAsia" w:ascii="楷体" w:hAnsi="楷体" w:eastAsia="楷体" w:cs="楷体"/>
              <w:sz w:val="24"/>
              <w:szCs w:val="24"/>
            </w:rPr>
            <w:t>预案实施</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_Toc14657 </w:instrText>
          </w:r>
          <w:r>
            <w:rPr>
              <w:rFonts w:hint="eastAsia" w:ascii="楷体" w:hAnsi="楷体" w:eastAsia="楷体" w:cs="楷体"/>
              <w:sz w:val="24"/>
              <w:szCs w:val="24"/>
            </w:rPr>
            <w:fldChar w:fldCharType="separate"/>
          </w:r>
          <w:r>
            <w:rPr>
              <w:rFonts w:hint="eastAsia" w:ascii="楷体" w:hAnsi="楷体" w:eastAsia="楷体" w:cs="楷体"/>
              <w:sz w:val="24"/>
              <w:szCs w:val="24"/>
            </w:rPr>
            <w:t>24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070"/>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_Toc9273 </w:instrText>
          </w:r>
          <w:r>
            <w:rPr>
              <w:rFonts w:hint="eastAsia" w:ascii="黑体" w:hAnsi="黑体" w:eastAsia="黑体" w:cs="黑体"/>
              <w:sz w:val="24"/>
              <w:szCs w:val="24"/>
            </w:rPr>
            <w:fldChar w:fldCharType="separate"/>
          </w:r>
          <w:r>
            <w:rPr>
              <w:rFonts w:hint="eastAsia" w:ascii="黑体" w:hAnsi="黑体" w:eastAsia="黑体" w:cs="黑体"/>
              <w:sz w:val="24"/>
              <w:szCs w:val="24"/>
            </w:rPr>
            <w:t>附件</w:t>
          </w:r>
          <w:r>
            <w:rPr>
              <w:rFonts w:hint="eastAsia" w:ascii="黑体" w:hAnsi="黑体" w:eastAsia="黑体" w:cs="黑体"/>
              <w:sz w:val="24"/>
              <w:szCs w:val="24"/>
              <w:lang w:val="en-US"/>
            </w:rPr>
            <w:t>1</w:t>
          </w:r>
          <w:r>
            <w:rPr>
              <w:rFonts w:hint="eastAsia" w:ascii="楷体" w:hAnsi="楷体" w:eastAsia="楷体" w:cs="楷体"/>
              <w:sz w:val="24"/>
              <w:szCs w:val="24"/>
            </w:rPr>
            <w:t>启动Ⅳ级响应工作流程图</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_Toc9273 </w:instrText>
          </w:r>
          <w:r>
            <w:rPr>
              <w:rFonts w:hint="eastAsia" w:ascii="黑体" w:hAnsi="黑体" w:eastAsia="黑体" w:cs="黑体"/>
              <w:sz w:val="24"/>
              <w:szCs w:val="24"/>
            </w:rPr>
            <w:fldChar w:fldCharType="separate"/>
          </w:r>
          <w:r>
            <w:rPr>
              <w:rFonts w:hint="eastAsia" w:ascii="黑体" w:hAnsi="黑体" w:eastAsia="黑体" w:cs="黑体"/>
              <w:sz w:val="24"/>
              <w:szCs w:val="24"/>
            </w:rPr>
            <w:t>25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0"/>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_Toc23511 </w:instrText>
          </w:r>
          <w:r>
            <w:rPr>
              <w:rFonts w:hint="eastAsia" w:ascii="黑体" w:hAnsi="黑体" w:eastAsia="黑体" w:cs="黑体"/>
              <w:sz w:val="24"/>
              <w:szCs w:val="24"/>
            </w:rPr>
            <w:fldChar w:fldCharType="separate"/>
          </w:r>
          <w:r>
            <w:rPr>
              <w:rFonts w:hint="eastAsia" w:ascii="黑体" w:hAnsi="黑体" w:eastAsia="黑体" w:cs="黑体"/>
              <w:sz w:val="24"/>
              <w:szCs w:val="24"/>
            </w:rPr>
            <w:t>附件2</w:t>
          </w:r>
          <w:r>
            <w:rPr>
              <w:rFonts w:hint="eastAsia" w:ascii="楷体" w:hAnsi="楷体" w:eastAsia="楷体" w:cs="楷体"/>
              <w:sz w:val="24"/>
              <w:szCs w:val="24"/>
            </w:rPr>
            <w:t>灾情信息报告主要指标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_Toc23511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0"/>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_Toc4060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rPr>
            <w:t>附件3</w:t>
          </w:r>
          <w:r>
            <w:rPr>
              <w:rFonts w:hint="eastAsia" w:ascii="楷体" w:hAnsi="楷体" w:eastAsia="楷体" w:cs="楷体"/>
              <w:sz w:val="24"/>
              <w:szCs w:val="24"/>
            </w:rPr>
            <w:t>名词术语</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_Toc4060 </w:instrText>
          </w:r>
          <w:r>
            <w:rPr>
              <w:rFonts w:hint="eastAsia" w:ascii="黑体" w:hAnsi="黑体" w:eastAsia="黑体" w:cs="黑体"/>
              <w:sz w:val="24"/>
              <w:szCs w:val="24"/>
            </w:rPr>
            <w:fldChar w:fldCharType="separate"/>
          </w:r>
          <w:r>
            <w:rPr>
              <w:rFonts w:hint="eastAsia" w:ascii="黑体" w:hAnsi="黑体" w:eastAsia="黑体" w:cs="黑体"/>
              <w:sz w:val="24"/>
              <w:szCs w:val="24"/>
            </w:rPr>
            <w:t>27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0"/>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_Toc21990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rPr>
            <w:t>附件4</w:t>
          </w:r>
          <w:r>
            <w:rPr>
              <w:rFonts w:hint="eastAsia" w:ascii="楷体" w:hAnsi="楷体" w:eastAsia="楷体" w:cs="楷体"/>
              <w:sz w:val="24"/>
              <w:szCs w:val="24"/>
              <w:lang w:val="en-US"/>
            </w:rPr>
            <w:t>琼山区低洼易涝点一览表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_Toc21990 </w:instrText>
          </w:r>
          <w:r>
            <w:rPr>
              <w:rFonts w:hint="eastAsia" w:ascii="黑体" w:hAnsi="黑体" w:eastAsia="黑体" w:cs="黑体"/>
              <w:sz w:val="24"/>
              <w:szCs w:val="24"/>
            </w:rPr>
            <w:fldChar w:fldCharType="separate"/>
          </w:r>
          <w:r>
            <w:rPr>
              <w:rFonts w:hint="eastAsia" w:ascii="黑体" w:hAnsi="黑体" w:eastAsia="黑体" w:cs="黑体"/>
              <w:sz w:val="24"/>
              <w:szCs w:val="24"/>
            </w:rPr>
            <w:t>29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0"/>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_Toc17771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rPr>
            <w:t>附件5</w:t>
          </w:r>
          <w:r>
            <w:rPr>
              <w:rFonts w:hint="eastAsia" w:ascii="楷体" w:hAnsi="楷体" w:eastAsia="楷体" w:cs="楷体"/>
              <w:sz w:val="24"/>
              <w:szCs w:val="24"/>
              <w:lang w:val="en-US"/>
            </w:rPr>
            <w:t>琼山区地质灾害易发点一览表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_Toc17771 </w:instrText>
          </w:r>
          <w:r>
            <w:rPr>
              <w:rFonts w:hint="eastAsia" w:ascii="黑体" w:hAnsi="黑体" w:eastAsia="黑体" w:cs="黑体"/>
              <w:sz w:val="24"/>
              <w:szCs w:val="24"/>
            </w:rPr>
            <w:fldChar w:fldCharType="separate"/>
          </w:r>
          <w:r>
            <w:rPr>
              <w:rFonts w:hint="eastAsia" w:ascii="黑体" w:hAnsi="黑体" w:eastAsia="黑体" w:cs="黑体"/>
              <w:sz w:val="24"/>
              <w:szCs w:val="24"/>
            </w:rPr>
            <w:t>32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0"/>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_Toc14881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rPr>
            <w:t>附件6</w:t>
          </w:r>
          <w:r>
            <w:rPr>
              <w:rFonts w:hint="eastAsia" w:ascii="楷体" w:hAnsi="楷体" w:eastAsia="楷体" w:cs="楷体"/>
              <w:sz w:val="24"/>
              <w:szCs w:val="24"/>
              <w:lang w:val="en-US"/>
            </w:rPr>
            <w:t>琼山区建筑工地隐患点一览表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_Toc14881 </w:instrText>
          </w:r>
          <w:r>
            <w:rPr>
              <w:rFonts w:hint="eastAsia" w:ascii="黑体" w:hAnsi="黑体" w:eastAsia="黑体" w:cs="黑体"/>
              <w:sz w:val="24"/>
              <w:szCs w:val="24"/>
            </w:rPr>
            <w:fldChar w:fldCharType="separate"/>
          </w:r>
          <w:r>
            <w:rPr>
              <w:rFonts w:hint="eastAsia" w:ascii="黑体" w:hAnsi="黑体" w:eastAsia="黑体" w:cs="黑体"/>
              <w:sz w:val="24"/>
              <w:szCs w:val="24"/>
            </w:rPr>
            <w:t>33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right" w:leader="dot" w:pos="9070"/>
            </w:tabs>
            <w:rPr>
              <w:rFonts w:hint="eastAsia" w:ascii="黑体" w:hAnsi="黑体" w:eastAsia="黑体" w:cs="黑体"/>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_Toc14757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rPr>
            <w:t>附件7</w:t>
          </w:r>
          <w:r>
            <w:rPr>
              <w:rFonts w:hint="eastAsia" w:ascii="楷体" w:hAnsi="楷体" w:eastAsia="楷体" w:cs="楷体"/>
              <w:sz w:val="24"/>
              <w:szCs w:val="24"/>
              <w:lang w:val="en-US"/>
            </w:rPr>
            <w:t>琼山区防汛抢险队伍一览表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_Toc14757 </w:instrText>
          </w:r>
          <w:r>
            <w:rPr>
              <w:rFonts w:hint="eastAsia" w:ascii="黑体" w:hAnsi="黑体" w:eastAsia="黑体" w:cs="黑体"/>
              <w:sz w:val="24"/>
              <w:szCs w:val="24"/>
            </w:rPr>
            <w:fldChar w:fldCharType="separate"/>
          </w:r>
          <w:r>
            <w:rPr>
              <w:rFonts w:hint="eastAsia" w:ascii="黑体" w:hAnsi="黑体" w:eastAsia="黑体" w:cs="黑体"/>
              <w:sz w:val="24"/>
              <w:szCs w:val="24"/>
            </w:rPr>
            <w:t>34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tabs>
              <w:tab w:val="left" w:pos="1050"/>
              <w:tab w:val="right" w:leader="dot" w:pos="9060"/>
            </w:tabs>
            <w:rPr>
              <w:rFonts w:ascii="宋体" w:hAnsi="宋体" w:cs="宋体"/>
              <w:b/>
              <w:bCs/>
              <w:sz w:val="44"/>
              <w:szCs w:val="44"/>
            </w:rPr>
            <w:sectPr>
              <w:pgSz w:w="11906" w:h="16838"/>
              <w:pgMar w:top="1417" w:right="1418" w:bottom="1417" w:left="1418" w:header="851" w:footer="992" w:gutter="0"/>
              <w:pgNumType w:fmt="numberInDash"/>
              <w:cols w:space="425" w:num="1"/>
              <w:docGrid w:type="lines" w:linePitch="312" w:charSpace="0"/>
            </w:sectPr>
          </w:pPr>
          <w:r>
            <w:rPr>
              <w:rStyle w:val="12"/>
              <w:rFonts w:hint="eastAsia" w:ascii="楷体" w:hAnsi="楷体" w:eastAsia="楷体" w:cs="楷体"/>
            </w:rPr>
            <w:fldChar w:fldCharType="end"/>
          </w:r>
        </w:p>
      </w:sdtContent>
    </w:sdt>
    <w:p>
      <w:pPr>
        <w:pStyle w:val="3"/>
        <w:numPr>
          <w:ilvl w:val="0"/>
          <w:numId w:val="0"/>
        </w:numPr>
        <w:ind w:left="100" w:leftChars="0"/>
        <w:jc w:val="center"/>
        <w:rPr>
          <w:szCs w:val="32"/>
        </w:rPr>
      </w:pPr>
      <w:bookmarkStart w:id="11" w:name="_Toc11643"/>
      <w:bookmarkStart w:id="12" w:name="_Toc31607"/>
      <w:r>
        <w:rPr>
          <w:rFonts w:hint="eastAsia" w:ascii="黑体" w:hAnsi="黑体" w:eastAsia="黑体" w:cs="黑体"/>
          <w:lang w:val="en-US" w:eastAsia="zh-CN"/>
        </w:rPr>
        <w:t>1</w:t>
      </w:r>
      <w:r>
        <w:rPr>
          <w:rFonts w:hint="eastAsia"/>
        </w:rPr>
        <w:t>总则</w:t>
      </w:r>
      <w:bookmarkEnd w:id="11"/>
      <w:bookmarkEnd w:id="12"/>
    </w:p>
    <w:p>
      <w:pPr>
        <w:spacing w:line="560" w:lineRule="exact"/>
        <w:ind w:firstLine="640" w:firstLineChars="200"/>
        <w:outlineLvl w:val="1"/>
        <w:rPr>
          <w:rFonts w:ascii="宋体" w:hAnsi="宋体" w:eastAsia="宋体" w:cs="宋体"/>
          <w:sz w:val="32"/>
          <w:szCs w:val="32"/>
        </w:rPr>
      </w:pPr>
      <w:bookmarkStart w:id="13" w:name="_Toc12066"/>
      <w:r>
        <w:rPr>
          <w:rFonts w:hint="eastAsia" w:ascii="楷体" w:hAnsi="楷体" w:eastAsia="楷体" w:cs="楷体"/>
          <w:kern w:val="2"/>
          <w:sz w:val="32"/>
          <w:szCs w:val="28"/>
          <w:lang w:val="en-US" w:eastAsia="zh-CN" w:bidi="zh-CN"/>
        </w:rPr>
        <w:t>1.1</w:t>
      </w:r>
      <w:r>
        <w:rPr>
          <w:rFonts w:hint="eastAsia" w:ascii="楷体" w:hAnsi="楷体" w:eastAsia="楷体" w:cs="楷体"/>
          <w:sz w:val="32"/>
          <w:szCs w:val="32"/>
        </w:rPr>
        <w:t>编制目的</w:t>
      </w:r>
      <w:bookmarkEnd w:id="1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以新时代中国特色社会主义思想为指导，深入贯彻落实习近平总书记关于防灾减灾的重要论述</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进一步建立健全自然灾害应对工作，依法有力有序有效实施自然灾害应急，规范全区救灾工作，合理配置自然灾害预警、救助等资源，最大限度地减少人员伤亡和财产损失，保障灾区人民群众的基本生活，维护社会稳定。</w:t>
      </w:r>
    </w:p>
    <w:p>
      <w:pPr>
        <w:spacing w:line="560" w:lineRule="exact"/>
        <w:ind w:firstLine="640" w:firstLineChars="200"/>
        <w:outlineLvl w:val="1"/>
        <w:rPr>
          <w:rFonts w:hint="eastAsia" w:ascii="楷体" w:hAnsi="楷体" w:eastAsia="楷体" w:cs="楷体"/>
          <w:color w:val="FF0000"/>
          <w:sz w:val="32"/>
          <w:szCs w:val="32"/>
          <w:lang w:eastAsia="zh-CN"/>
        </w:rPr>
      </w:pPr>
      <w:bookmarkStart w:id="14" w:name="_Toc10895"/>
      <w:r>
        <w:rPr>
          <w:rFonts w:hint="eastAsia" w:ascii="楷体" w:hAnsi="楷体" w:eastAsia="楷体" w:cs="楷体"/>
          <w:sz w:val="32"/>
          <w:szCs w:val="32"/>
          <w:lang w:val="en-US" w:eastAsia="zh-CN"/>
        </w:rPr>
        <w:t>1.2</w:t>
      </w:r>
      <w:r>
        <w:rPr>
          <w:rFonts w:hint="eastAsia" w:ascii="楷体" w:hAnsi="楷体" w:eastAsia="楷体" w:cs="楷体"/>
          <w:sz w:val="32"/>
          <w:szCs w:val="32"/>
        </w:rPr>
        <w:t>编制依据</w:t>
      </w:r>
      <w:bookmarkEnd w:id="14"/>
      <w:r>
        <w:rPr>
          <w:rFonts w:hint="eastAsia" w:ascii="楷体" w:hAnsi="楷体" w:eastAsia="楷体" w:cs="楷体"/>
          <w:sz w:val="32"/>
          <w:szCs w:val="32"/>
          <w:lang w:val="en-US" w:eastAsia="zh-CN"/>
        </w:rPr>
        <w:t xml:space="preserve"> </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据《中华人民共和国突发事件应对法》《中华人民共和国防震减灾法》《中华人民共和国气象法》《中华人民共和国防洪法》《中华人民共和国抗旱条例》《中华人民共和国公益事业捐赠法》《自然灾害救助条例》《国家自然灾害救助应急预案》《海南省人民政府突发公共事件总体应急预案》</w:t>
      </w:r>
      <w:r>
        <w:rPr>
          <w:rFonts w:hint="eastAsia" w:ascii="仿宋_GB2312" w:hAnsi="仿宋_GB2312" w:eastAsia="仿宋_GB2312" w:cs="仿宋_GB2312"/>
          <w:sz w:val="32"/>
          <w:szCs w:val="32"/>
          <w:lang w:val="en-US" w:eastAsia="zh-CN"/>
        </w:rPr>
        <w:t>，以及海口市和琼山区相关预案和</w:t>
      </w:r>
      <w:r>
        <w:rPr>
          <w:rFonts w:hint="eastAsia" w:ascii="仿宋_GB2312" w:hAnsi="仿宋_GB2312" w:eastAsia="仿宋_GB2312" w:cs="仿宋_GB2312"/>
          <w:sz w:val="32"/>
          <w:szCs w:val="32"/>
        </w:rPr>
        <w:t>有关救灾工作政策规定，</w:t>
      </w:r>
      <w:r>
        <w:rPr>
          <w:rFonts w:hint="eastAsia" w:ascii="仿宋_GB2312" w:hAnsi="仿宋_GB2312" w:eastAsia="仿宋_GB2312" w:cs="仿宋_GB2312"/>
          <w:sz w:val="32"/>
          <w:szCs w:val="32"/>
          <w:lang w:val="en-US" w:eastAsia="zh-CN"/>
        </w:rPr>
        <w:t>结合我</w:t>
      </w:r>
      <w:r>
        <w:rPr>
          <w:rFonts w:hint="eastAsia" w:ascii="仿宋_GB2312" w:hAnsi="仿宋_GB2312" w:eastAsia="仿宋_GB2312" w:cs="仿宋_GB2312"/>
          <w:sz w:val="32"/>
          <w:szCs w:val="32"/>
        </w:rPr>
        <w:t>区人民政府机构改革方案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自然灾害救助工作实际，制定本</w:t>
      </w:r>
      <w:r>
        <w:rPr>
          <w:rFonts w:hint="eastAsia" w:ascii="仿宋_GB2312" w:hAnsi="仿宋_GB2312" w:eastAsia="仿宋_GB2312" w:cs="仿宋_GB2312"/>
          <w:sz w:val="32"/>
          <w:szCs w:val="32"/>
          <w:lang w:eastAsia="zh-CN"/>
        </w:rPr>
        <w:t>预案</w:t>
      </w:r>
      <w:r>
        <w:rPr>
          <w:rFonts w:hint="eastAsia" w:ascii="仿宋_GB2312" w:hAnsi="仿宋_GB2312" w:eastAsia="仿宋_GB2312" w:cs="仿宋_GB2312"/>
          <w:sz w:val="32"/>
          <w:szCs w:val="32"/>
        </w:rPr>
        <w:t>。</w:t>
      </w:r>
    </w:p>
    <w:p>
      <w:pPr>
        <w:spacing w:line="560" w:lineRule="exact"/>
        <w:ind w:firstLine="640" w:firstLineChars="200"/>
        <w:outlineLvl w:val="1"/>
        <w:rPr>
          <w:rFonts w:ascii="宋体" w:hAnsi="宋体" w:eastAsia="宋体" w:cs="宋体"/>
          <w:sz w:val="32"/>
          <w:szCs w:val="32"/>
        </w:rPr>
      </w:pPr>
      <w:bookmarkStart w:id="15" w:name="_Toc26922"/>
      <w:r>
        <w:rPr>
          <w:rFonts w:hint="eastAsia" w:ascii="楷体" w:hAnsi="楷体" w:eastAsia="楷体" w:cs="楷体"/>
          <w:sz w:val="32"/>
          <w:szCs w:val="32"/>
          <w:lang w:val="en-US" w:eastAsia="zh-CN"/>
        </w:rPr>
        <w:t>1.3</w:t>
      </w:r>
      <w:r>
        <w:rPr>
          <w:rFonts w:hint="eastAsia" w:ascii="楷体" w:hAnsi="楷体" w:eastAsia="楷体" w:cs="楷体"/>
          <w:sz w:val="32"/>
          <w:szCs w:val="32"/>
        </w:rPr>
        <w:t>适用范围</w:t>
      </w:r>
      <w:bookmarkEnd w:id="1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本预案适用于我行政区域内</w:t>
      </w:r>
      <w:r>
        <w:rPr>
          <w:rFonts w:hint="eastAsia" w:ascii="仿宋_GB2312" w:hAnsi="仿宋_GB2312" w:eastAsia="仿宋_GB2312" w:cs="仿宋_GB2312"/>
          <w:sz w:val="32"/>
          <w:szCs w:val="32"/>
          <w:lang w:eastAsia="zh-CN"/>
        </w:rPr>
        <w:t>可能</w:t>
      </w:r>
      <w:r>
        <w:rPr>
          <w:rFonts w:hint="eastAsia" w:ascii="仿宋_GB2312" w:hAnsi="仿宋_GB2312" w:eastAsia="仿宋_GB2312" w:cs="仿宋_GB2312"/>
          <w:sz w:val="32"/>
          <w:szCs w:val="32"/>
        </w:rPr>
        <w:t>发生的干旱、洪涝、台风、高温、地震、山体崩塌、滑坡、泥石流、</w:t>
      </w:r>
      <w:r>
        <w:rPr>
          <w:rFonts w:hint="eastAsia" w:ascii="仿宋_GB2312" w:hAnsi="仿宋_GB2312" w:eastAsia="仿宋_GB2312" w:cs="仿宋_GB2312"/>
          <w:sz w:val="32"/>
          <w:szCs w:val="32"/>
          <w:lang w:eastAsia="zh-CN"/>
        </w:rPr>
        <w:t>冰雹、地表沉降、裂缝、</w:t>
      </w:r>
      <w:r>
        <w:rPr>
          <w:rFonts w:hint="eastAsia" w:ascii="仿宋_GB2312" w:hAnsi="仿宋_GB2312" w:eastAsia="仿宋_GB2312" w:cs="仿宋_GB2312"/>
          <w:sz w:val="32"/>
          <w:szCs w:val="32"/>
        </w:rPr>
        <w:t>森林火灾和重大生物灾害、重大动物疫病等自然灾害（以下简称“灾害”）的政府应急救助工作。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发生其他类型突发事件，根据需要可参照本预案开展应急救助工作。</w:t>
      </w:r>
    </w:p>
    <w:p>
      <w:pPr>
        <w:tabs>
          <w:tab w:val="left" w:pos="704"/>
        </w:tabs>
        <w:spacing w:line="560" w:lineRule="exact"/>
        <w:ind w:firstLine="640" w:firstLineChars="200"/>
        <w:outlineLvl w:val="1"/>
        <w:rPr>
          <w:rFonts w:ascii="宋体" w:hAnsi="宋体" w:eastAsia="宋体" w:cs="宋体"/>
          <w:sz w:val="32"/>
          <w:szCs w:val="32"/>
        </w:rPr>
      </w:pPr>
      <w:r>
        <w:rPr>
          <w:rFonts w:hint="eastAsia" w:ascii="楷体" w:hAnsi="楷体" w:eastAsia="楷体" w:cs="楷体"/>
          <w:sz w:val="32"/>
          <w:szCs w:val="32"/>
          <w:lang w:val="en-US" w:eastAsia="zh-CN"/>
        </w:rPr>
        <w:tab/>
      </w:r>
      <w:bookmarkStart w:id="16" w:name="_Toc32292"/>
      <w:r>
        <w:rPr>
          <w:rFonts w:hint="eastAsia" w:ascii="楷体" w:hAnsi="楷体" w:eastAsia="楷体" w:cs="楷体"/>
          <w:sz w:val="32"/>
          <w:szCs w:val="32"/>
          <w:lang w:val="en-US" w:eastAsia="zh-CN"/>
        </w:rPr>
        <w:t>1.4</w:t>
      </w:r>
      <w:r>
        <w:rPr>
          <w:rFonts w:hint="eastAsia" w:ascii="楷体" w:hAnsi="楷体" w:eastAsia="楷体" w:cs="楷体"/>
          <w:sz w:val="32"/>
          <w:szCs w:val="32"/>
        </w:rPr>
        <w:t>工作原则</w:t>
      </w:r>
      <w:bookmarkEnd w:id="16"/>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val="en-US" w:bidi="zh-CN"/>
        </w:rPr>
        <w:t>1</w:t>
      </w:r>
      <w:r>
        <w:rPr>
          <w:rFonts w:hint="eastAsia" w:ascii="仿宋_GB2312" w:hAnsi="仿宋_GB2312" w:eastAsia="仿宋_GB2312" w:cs="仿宋_GB2312"/>
          <w:sz w:val="32"/>
          <w:szCs w:val="32"/>
          <w:lang w:val="zh-CN" w:bidi="zh-CN"/>
        </w:rPr>
        <w:t>）坚</w:t>
      </w:r>
      <w:r>
        <w:rPr>
          <w:rFonts w:hint="eastAsia" w:ascii="仿宋_GB2312" w:hAnsi="仿宋_GB2312" w:eastAsia="仿宋_GB2312" w:cs="仿宋_GB2312"/>
          <w:sz w:val="32"/>
          <w:szCs w:val="32"/>
        </w:rPr>
        <w:t>持以人为本，最大程度保护人民群众</w:t>
      </w:r>
      <w:r>
        <w:rPr>
          <w:rFonts w:hint="eastAsia" w:ascii="仿宋_GB2312" w:hAnsi="仿宋_GB2312" w:eastAsia="仿宋_GB2312" w:cs="仿宋_GB2312"/>
          <w:sz w:val="32"/>
          <w:szCs w:val="32"/>
          <w:highlight w:val="none"/>
          <w:lang w:eastAsia="zh-CN"/>
        </w:rPr>
        <w:t>生命财产</w:t>
      </w:r>
      <w:r>
        <w:rPr>
          <w:rFonts w:hint="eastAsia" w:ascii="仿宋_GB2312" w:hAnsi="仿宋_GB2312" w:eastAsia="仿宋_GB2312" w:cs="仿宋_GB2312"/>
          <w:sz w:val="32"/>
          <w:szCs w:val="32"/>
        </w:rPr>
        <w:t>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坚持综合减灾，统筹抵御各种自然灾害。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坚持分级负责，属地管理为主。</w:t>
      </w:r>
    </w:p>
    <w:p>
      <w:pPr>
        <w:spacing w:line="560" w:lineRule="exact"/>
        <w:ind w:firstLine="640" w:firstLineChars="200"/>
        <w:rPr>
          <w:rFonts w:ascii="仿宋" w:hAnsi="仿宋" w:eastAsia="仿宋" w:cs="宋体"/>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坚持党委领导、政府主导、社会力量广泛参与。</w:t>
      </w:r>
    </w:p>
    <w:p>
      <w:pPr>
        <w:spacing w:line="560" w:lineRule="exact"/>
        <w:ind w:firstLine="640" w:firstLineChars="200"/>
        <w:outlineLvl w:val="1"/>
        <w:rPr>
          <w:rFonts w:ascii="仿宋" w:hAnsi="仿宋" w:eastAsia="仿宋" w:cs="宋体"/>
          <w:sz w:val="32"/>
          <w:szCs w:val="32"/>
        </w:rPr>
      </w:pPr>
      <w:bookmarkStart w:id="17" w:name="_Toc13546"/>
      <w:bookmarkStart w:id="18" w:name="_Toc25224"/>
      <w:r>
        <w:rPr>
          <w:rFonts w:hint="eastAsia" w:ascii="楷体" w:hAnsi="楷体" w:eastAsia="楷体" w:cs="楷体"/>
          <w:sz w:val="32"/>
          <w:szCs w:val="32"/>
          <w:lang w:val="en-US" w:eastAsia="zh-CN"/>
        </w:rPr>
        <w:t>1.5</w:t>
      </w:r>
      <w:r>
        <w:rPr>
          <w:rFonts w:hint="eastAsia" w:ascii="楷体" w:hAnsi="楷体" w:eastAsia="楷体" w:cs="楷体"/>
          <w:sz w:val="32"/>
          <w:szCs w:val="32"/>
        </w:rPr>
        <w:t>自然灾害救助应急预案体系</w:t>
      </w:r>
      <w:bookmarkEnd w:id="17"/>
      <w:bookmarkEnd w:id="18"/>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本预案是</w:t>
      </w:r>
      <w:r>
        <w:rPr>
          <w:rFonts w:hint="eastAsia" w:ascii="仿宋_GB2312" w:hAnsi="仿宋_GB2312" w:eastAsia="仿宋_GB2312" w:cs="仿宋_GB2312"/>
          <w:sz w:val="32"/>
          <w:szCs w:val="32"/>
          <w:lang w:val="zh-CN" w:eastAsia="zh-CN"/>
        </w:rPr>
        <w:t>琼山</w:t>
      </w:r>
      <w:r>
        <w:rPr>
          <w:rFonts w:hint="eastAsia" w:ascii="仿宋_GB2312" w:hAnsi="仿宋_GB2312" w:eastAsia="仿宋_GB2312" w:cs="仿宋_GB2312"/>
          <w:sz w:val="32"/>
          <w:szCs w:val="32"/>
          <w:lang w:val="zh-CN"/>
        </w:rPr>
        <w:t>区自然灾害救助应急救援预案体系的总纲，全区自然灾害救助应急预案体系由本预案、其他涉及自然灾害</w:t>
      </w:r>
      <w:r>
        <w:rPr>
          <w:rFonts w:hint="eastAsia" w:ascii="仿宋_GB2312" w:hAnsi="仿宋_GB2312" w:eastAsia="仿宋_GB2312" w:cs="仿宋_GB2312"/>
          <w:sz w:val="32"/>
          <w:szCs w:val="32"/>
          <w:highlight w:val="none"/>
          <w:lang w:val="zh-CN"/>
        </w:rPr>
        <w:t>救助的区</w:t>
      </w:r>
      <w:r>
        <w:rPr>
          <w:rFonts w:hint="eastAsia" w:ascii="仿宋_GB2312" w:hAnsi="仿宋_GB2312" w:eastAsia="仿宋_GB2312" w:cs="仿宋_GB2312"/>
          <w:sz w:val="32"/>
          <w:szCs w:val="32"/>
          <w:lang w:val="zh-CN"/>
        </w:rPr>
        <w:t>专项应急预案、部门应急预案、各镇（含街道办，下同）应急预案及相关现场应急处置方案组成。</w:t>
      </w:r>
    </w:p>
    <w:p>
      <w:pPr>
        <w:pStyle w:val="3"/>
        <w:spacing w:line="560" w:lineRule="exact"/>
        <w:jc w:val="center"/>
        <w:rPr>
          <w:rFonts w:hint="eastAsia"/>
          <w:szCs w:val="32"/>
          <w:lang w:val="en-US"/>
        </w:rPr>
      </w:pPr>
    </w:p>
    <w:p>
      <w:pPr>
        <w:pStyle w:val="3"/>
        <w:spacing w:line="560" w:lineRule="exact"/>
        <w:jc w:val="center"/>
      </w:pPr>
      <w:bookmarkStart w:id="19" w:name="_Toc19027"/>
      <w:bookmarkStart w:id="20" w:name="_Toc6812"/>
      <w:r>
        <w:rPr>
          <w:rFonts w:hint="eastAsia" w:ascii="黑体" w:hAnsi="黑体" w:eastAsia="黑体" w:cs="黑体"/>
          <w:szCs w:val="32"/>
          <w:lang w:val="en-US" w:eastAsia="zh-CN"/>
        </w:rPr>
        <w:t>2</w:t>
      </w:r>
      <w:r>
        <w:rPr>
          <w:rFonts w:hint="eastAsia"/>
          <w:szCs w:val="32"/>
        </w:rPr>
        <w:t>启动条件</w:t>
      </w:r>
      <w:bookmarkEnd w:id="19"/>
      <w:bookmarkEnd w:id="20"/>
    </w:p>
    <w:p>
      <w:pPr>
        <w:spacing w:line="560" w:lineRule="exact"/>
        <w:ind w:firstLine="640" w:firstLineChars="200"/>
        <w:outlineLvl w:val="1"/>
        <w:rPr>
          <w:rFonts w:ascii="楷体" w:hAnsi="楷体" w:eastAsia="楷体" w:cs="楷体"/>
          <w:sz w:val="32"/>
          <w:szCs w:val="32"/>
        </w:rPr>
      </w:pPr>
      <w:bookmarkStart w:id="21" w:name="_Toc5948"/>
      <w:r>
        <w:rPr>
          <w:rFonts w:hint="eastAsia" w:ascii="楷体" w:hAnsi="楷体" w:eastAsia="楷体" w:cs="楷体"/>
          <w:sz w:val="32"/>
          <w:szCs w:val="32"/>
          <w:lang w:val="en-US" w:eastAsia="zh-CN"/>
        </w:rPr>
        <w:t>2.1</w:t>
      </w:r>
      <w:r>
        <w:rPr>
          <w:rFonts w:hint="eastAsia" w:ascii="楷体" w:hAnsi="楷体" w:eastAsia="楷体" w:cs="楷体"/>
          <w:sz w:val="32"/>
          <w:szCs w:val="32"/>
        </w:rPr>
        <w:t>预案启动的条件</w:t>
      </w:r>
      <w:bookmarkEnd w:id="2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本预案所称自然灾害是指气象灾害（如热带气旋、水灾等）、地表灾害（如海啸、森林火灾、</w:t>
      </w:r>
      <w:r>
        <w:rPr>
          <w:rFonts w:hint="eastAsia" w:ascii="仿宋_GB2312" w:hAnsi="仿宋_GB2312" w:eastAsia="仿宋_GB2312" w:cs="仿宋_GB2312"/>
          <w:sz w:val="32"/>
          <w:szCs w:val="32"/>
          <w:highlight w:val="none"/>
        </w:rPr>
        <w:t>海水</w:t>
      </w:r>
      <w:r>
        <w:rPr>
          <w:rFonts w:hint="eastAsia" w:ascii="仿宋_GB2312" w:hAnsi="仿宋_GB2312" w:eastAsia="仿宋_GB2312" w:cs="仿宋_GB2312"/>
          <w:sz w:val="32"/>
          <w:szCs w:val="32"/>
        </w:rPr>
        <w:t>入侵等）、地质构造灾害（如地震等）、生物灾害（如农作物病虫害、烈性传染病的</w:t>
      </w:r>
      <w:r>
        <w:rPr>
          <w:rFonts w:hint="eastAsia" w:ascii="仿宋_GB2312" w:hAnsi="仿宋_GB2312" w:eastAsia="仿宋_GB2312" w:cs="仿宋_GB2312"/>
          <w:sz w:val="32"/>
          <w:szCs w:val="32"/>
          <w:highlight w:val="none"/>
        </w:rPr>
        <w:t>爆发</w:t>
      </w:r>
      <w:r>
        <w:rPr>
          <w:rFonts w:hint="eastAsia" w:ascii="仿宋_GB2312" w:hAnsi="仿宋_GB2312" w:eastAsia="仿宋_GB2312" w:cs="仿宋_GB2312"/>
          <w:sz w:val="32"/>
          <w:szCs w:val="32"/>
        </w:rPr>
        <w:t>流行）等。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根据突发性灾害的危害程度等因素，琼山区自然灾害救助应急响应由低到高分为Ⅳ级（一般灾害）、Ⅲ级（较大灾害）、Ⅱ级（重大灾害）、Ⅰ级（特别重大灾害）4 个等级。</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2.1.1</w:t>
      </w:r>
      <w:r>
        <w:rPr>
          <w:rFonts w:hint="eastAsia" w:ascii="仿宋" w:hAnsi="仿宋" w:eastAsia="仿宋" w:cs="宋体"/>
          <w:b/>
          <w:bCs/>
          <w:sz w:val="32"/>
          <w:szCs w:val="32"/>
        </w:rPr>
        <w:t>Ⅳ级（一般灾害）启动条件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区行政区域内，发生本预案适用范围内各类灾害， 一次灾害过程出现下列情况之一的，启动Ⅳ级响应：</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⑴ 因灾死亡（含失踪）</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lang w:val="en-US" w:eastAsia="zh-CN"/>
        </w:rPr>
        <w:t>10人</w:t>
      </w:r>
      <w:r>
        <w:rPr>
          <w:rFonts w:hint="eastAsia" w:ascii="仿宋_GB2312" w:hAnsi="仿宋_GB2312" w:eastAsia="仿宋_GB2312" w:cs="仿宋_GB2312"/>
          <w:color w:val="auto"/>
          <w:sz w:val="32"/>
          <w:szCs w:val="32"/>
        </w:rPr>
        <w:t>以下；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⑵ 紧急转移安置或需紧急生活救助5000人以下；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⑶ 倒塌和严重损坏房屋500间或 150户以上、1500间或500户以下；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⑷ 干旱灾害造成缺粮或缺水等生活困难，需政府救助人数占全区人口</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万人以上、</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万人以下。</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2.1.2</w:t>
      </w:r>
      <w:r>
        <w:rPr>
          <w:rFonts w:hint="eastAsia" w:ascii="仿宋" w:hAnsi="仿宋" w:eastAsia="仿宋" w:cs="宋体"/>
          <w:b/>
          <w:bCs/>
          <w:sz w:val="32"/>
          <w:szCs w:val="32"/>
        </w:rPr>
        <w:t>Ⅲ级（较大灾害）启动条件</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区行政区域内，发生本预案适用范围内各类灾害，一次灾害过程</w:t>
      </w:r>
      <w:r>
        <w:rPr>
          <w:rFonts w:hint="eastAsia" w:ascii="仿宋_GB2312" w:hAnsi="仿宋_GB2312" w:eastAsia="仿宋_GB2312" w:cs="仿宋_GB2312"/>
          <w:color w:val="auto"/>
          <w:sz w:val="32"/>
          <w:szCs w:val="32"/>
        </w:rPr>
        <w:t>出现下列情况之一的，由区减灾委向海口市减灾委报告：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⑴ 因灾死亡（含失踪）</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人以上、</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人以下；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⑵ 紧急转移安置或需紧急生活救助 </w:t>
      </w:r>
      <w:r>
        <w:rPr>
          <w:rFonts w:hint="eastAsia" w:ascii="仿宋_GB2312" w:hAnsi="仿宋_GB2312" w:eastAsia="仿宋_GB2312" w:cs="仿宋_GB2312"/>
          <w:color w:val="auto"/>
          <w:sz w:val="32"/>
          <w:szCs w:val="32"/>
          <w:lang w:val="en-US" w:eastAsia="zh-CN"/>
        </w:rPr>
        <w:t>5000</w:t>
      </w:r>
      <w:r>
        <w:rPr>
          <w:rFonts w:hint="eastAsia" w:ascii="仿宋_GB2312" w:hAnsi="仿宋_GB2312" w:eastAsia="仿宋_GB2312" w:cs="仿宋_GB2312"/>
          <w:color w:val="auto"/>
          <w:sz w:val="32"/>
          <w:szCs w:val="32"/>
        </w:rPr>
        <w:t>人以上、</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万人以下；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⑶ 倒塌和严重损坏房屋 1500 间或 500 户以上、</w:t>
      </w:r>
      <w:r>
        <w:rPr>
          <w:rFonts w:hint="eastAsia" w:ascii="仿宋_GB2312" w:hAnsi="仿宋_GB2312" w:eastAsia="仿宋_GB2312" w:cs="仿宋_GB2312"/>
          <w:color w:val="auto"/>
          <w:sz w:val="32"/>
          <w:szCs w:val="32"/>
          <w:lang w:val="en-US" w:eastAsia="zh-CN"/>
        </w:rPr>
        <w:t>3000</w:t>
      </w:r>
      <w:r>
        <w:rPr>
          <w:rFonts w:hint="eastAsia" w:ascii="仿宋_GB2312" w:hAnsi="仿宋_GB2312" w:eastAsia="仿宋_GB2312" w:cs="仿宋_GB2312"/>
          <w:color w:val="auto"/>
          <w:sz w:val="32"/>
          <w:szCs w:val="32"/>
        </w:rPr>
        <w:t>间或</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000 户以下；</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 xml:space="preserve">⑷ 干旱灾害造成缺粮或缺水等生活困难，需政府救助人数 </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万人以上、</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万人以下。</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2.1.3</w:t>
      </w:r>
      <w:r>
        <w:rPr>
          <w:rFonts w:hint="eastAsia" w:ascii="仿宋" w:hAnsi="仿宋" w:eastAsia="仿宋" w:cs="宋体"/>
          <w:b/>
          <w:bCs/>
          <w:sz w:val="32"/>
          <w:szCs w:val="32"/>
        </w:rPr>
        <w:t>Ⅱ级（重大灾害）启动条件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区行政区域内，发生本预案适用范围内各类灾害， 一次灾害过程出现下列情况之一的，由区减灾委向海口市、海南省减灾委报告：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⑴ 因灾死亡（含失踪）20人以上、50人以下；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⑵ 紧急转移安置或需紧急生活救助</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万人以上、</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万人以下；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⑶ 倒塌和严重损坏房屋 </w:t>
      </w:r>
      <w:r>
        <w:rPr>
          <w:rFonts w:hint="eastAsia" w:ascii="仿宋_GB2312" w:hAnsi="仿宋_GB2312" w:eastAsia="仿宋_GB2312" w:cs="仿宋_GB2312"/>
          <w:color w:val="auto"/>
          <w:sz w:val="32"/>
          <w:szCs w:val="32"/>
          <w:lang w:val="en-US" w:eastAsia="zh-CN"/>
        </w:rPr>
        <w:t>3000</w:t>
      </w:r>
      <w:r>
        <w:rPr>
          <w:rFonts w:hint="eastAsia" w:ascii="仿宋_GB2312" w:hAnsi="仿宋_GB2312" w:eastAsia="仿宋_GB2312" w:cs="仿宋_GB2312"/>
          <w:color w:val="auto"/>
          <w:sz w:val="32"/>
          <w:szCs w:val="32"/>
        </w:rPr>
        <w:t xml:space="preserve">间或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000 户以上、</w:t>
      </w:r>
      <w:r>
        <w:rPr>
          <w:rFonts w:hint="eastAsia" w:ascii="仿宋_GB2312" w:hAnsi="仿宋_GB2312" w:eastAsia="仿宋_GB2312" w:cs="仿宋_GB2312"/>
          <w:color w:val="auto"/>
          <w:sz w:val="32"/>
          <w:szCs w:val="32"/>
          <w:lang w:val="en-US" w:eastAsia="zh-CN"/>
        </w:rPr>
        <w:t>6000</w:t>
      </w:r>
      <w:r>
        <w:rPr>
          <w:rFonts w:hint="eastAsia" w:ascii="仿宋_GB2312" w:hAnsi="仿宋_GB2312" w:eastAsia="仿宋_GB2312" w:cs="仿宋_GB2312"/>
          <w:color w:val="auto"/>
          <w:sz w:val="32"/>
          <w:szCs w:val="32"/>
        </w:rPr>
        <w:t>间或</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rPr>
        <w:t>户以下；</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⑷ 干旱灾害造成缺粮或缺水等生活困难，需政府救助人数</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万人以上、</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万人以下。</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2.1.4</w:t>
      </w:r>
      <w:r>
        <w:rPr>
          <w:rFonts w:hint="eastAsia" w:ascii="仿宋" w:hAnsi="仿宋" w:eastAsia="仿宋" w:cs="宋体"/>
          <w:b/>
          <w:bCs/>
          <w:sz w:val="32"/>
          <w:szCs w:val="32"/>
        </w:rPr>
        <w:t>Ⅰ级（特别重大灾害）启动条件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区行政区域内，发生本预案适用范围内各类灾害，一次灾害过程出现下列情况之一的，由区减灾委向海口市、海南省减灾委报告：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⑴ 因灾死亡（含失踪）50 人以上；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⑵ 紧急转移安置或需紧急生活救助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万人以上；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⑶ 倒塌和严重损坏房屋 </w:t>
      </w:r>
      <w:r>
        <w:rPr>
          <w:rFonts w:hint="eastAsia" w:ascii="仿宋_GB2312" w:hAnsi="仿宋_GB2312" w:eastAsia="仿宋_GB2312" w:cs="仿宋_GB2312"/>
          <w:color w:val="auto"/>
          <w:sz w:val="32"/>
          <w:szCs w:val="32"/>
          <w:lang w:val="en-US" w:eastAsia="zh-CN"/>
        </w:rPr>
        <w:t>6000</w:t>
      </w:r>
      <w:r>
        <w:rPr>
          <w:rFonts w:hint="eastAsia" w:ascii="仿宋_GB2312" w:hAnsi="仿宋_GB2312" w:eastAsia="仿宋_GB2312" w:cs="仿宋_GB2312"/>
          <w:color w:val="auto"/>
          <w:sz w:val="32"/>
          <w:szCs w:val="32"/>
        </w:rPr>
        <w:t>间或</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rPr>
        <w:t>户以上；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⑷ 干旱灾害造成缺粮或缺水等生活困难，需政府救助人数 </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万人以上。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凡具备以上所限定的自然灾害情形之一的，或国家及省、市政府命令启动预案的，本预案予以启动。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本预案适用于一般级别（Ⅳ级）的自然灾害的应急处置，由区政府负责。较大级别（Ⅲ级）及以上的自然灾害，区减灾委要第一时间上报市、省政府，申请上级的支持和援助。先期应急响应参照本预案执行。</w:t>
      </w:r>
    </w:p>
    <w:p>
      <w:pPr>
        <w:spacing w:line="560" w:lineRule="exact"/>
        <w:ind w:firstLine="640" w:firstLineChars="200"/>
        <w:outlineLvl w:val="1"/>
        <w:rPr>
          <w:rFonts w:ascii="宋体" w:hAnsi="宋体" w:eastAsia="宋体" w:cs="宋体"/>
          <w:sz w:val="32"/>
          <w:szCs w:val="32"/>
        </w:rPr>
      </w:pPr>
      <w:bookmarkStart w:id="22" w:name="_Toc6674"/>
      <w:r>
        <w:rPr>
          <w:rFonts w:hint="eastAsia" w:ascii="楷体" w:hAnsi="楷体" w:eastAsia="楷体" w:cs="楷体"/>
          <w:sz w:val="32"/>
          <w:szCs w:val="32"/>
          <w:lang w:val="en-US" w:eastAsia="zh-CN"/>
        </w:rPr>
        <w:t>2.2</w:t>
      </w:r>
      <w:r>
        <w:rPr>
          <w:rFonts w:hint="eastAsia" w:ascii="楷体" w:hAnsi="楷体" w:eastAsia="楷体" w:cs="楷体"/>
          <w:sz w:val="32"/>
          <w:szCs w:val="32"/>
        </w:rPr>
        <w:t>预案启动的方式</w:t>
      </w:r>
      <w:bookmarkEnd w:id="22"/>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接到</w:t>
      </w:r>
      <w:r>
        <w:rPr>
          <w:rFonts w:hint="eastAsia" w:ascii="仿宋_GB2312" w:hAnsi="仿宋_GB2312" w:eastAsia="仿宋_GB2312" w:cs="仿宋_GB2312"/>
          <w:color w:val="000000" w:themeColor="text1"/>
          <w:sz w:val="32"/>
          <w:szCs w:val="32"/>
          <w:lang w:eastAsia="zh-CN"/>
          <w14:textFill>
            <w14:solidFill>
              <w14:schemeClr w14:val="tx1"/>
            </w14:solidFill>
          </w14:textFill>
        </w:rPr>
        <w:t>上级</w:t>
      </w:r>
      <w:r>
        <w:rPr>
          <w:rFonts w:hint="eastAsia" w:ascii="仿宋_GB2312" w:hAnsi="仿宋_GB2312" w:eastAsia="仿宋_GB2312" w:cs="仿宋_GB2312"/>
          <w:color w:val="000000" w:themeColor="text1"/>
          <w:sz w:val="32"/>
          <w:szCs w:val="32"/>
          <w14:textFill>
            <w14:solidFill>
              <w14:schemeClr w14:val="tx1"/>
            </w14:solidFill>
          </w14:textFill>
        </w:rPr>
        <w:t>有关指挥部及</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w:t>
      </w:r>
      <w:r>
        <w:rPr>
          <w:rFonts w:hint="eastAsia" w:ascii="仿宋_GB2312" w:hAnsi="仿宋_GB2312" w:eastAsia="仿宋_GB2312" w:cs="仿宋_GB2312"/>
          <w:color w:val="000000" w:themeColor="text1"/>
          <w:sz w:val="32"/>
          <w:szCs w:val="32"/>
          <w14:textFill>
            <w14:solidFill>
              <w14:schemeClr w14:val="tx1"/>
            </w14:solidFill>
          </w14:textFill>
        </w:rPr>
        <w:t>部门通知或灾害预警报告，达到预案启动条件时，由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区政府办公室</w:t>
      </w:r>
      <w:r>
        <w:rPr>
          <w:rFonts w:hint="eastAsia" w:ascii="仿宋_GB2312" w:hAnsi="仿宋_GB2312" w:eastAsia="仿宋_GB2312" w:cs="仿宋_GB2312"/>
          <w:color w:val="000000" w:themeColor="text1"/>
          <w:sz w:val="32"/>
          <w:szCs w:val="32"/>
          <w14:textFill>
            <w14:solidFill>
              <w14:schemeClr w14:val="tx1"/>
            </w14:solidFill>
          </w14:textFill>
        </w:rPr>
        <w:t>、区应急管理局</w:t>
      </w:r>
      <w:r>
        <w:rPr>
          <w:rFonts w:hint="eastAsia" w:ascii="仿宋_GB2312" w:hAnsi="仿宋_GB2312" w:eastAsia="仿宋_GB2312" w:cs="仿宋_GB2312"/>
          <w:sz w:val="32"/>
          <w:szCs w:val="32"/>
        </w:rPr>
        <w:t>等有关部门分别向区政府报告，由区长批准启动预案。</w:t>
      </w:r>
    </w:p>
    <w:p>
      <w:pPr>
        <w:spacing w:line="560" w:lineRule="exact"/>
        <w:ind w:firstLine="640" w:firstLineChars="200"/>
        <w:outlineLvl w:val="1"/>
        <w:rPr>
          <w:rFonts w:ascii="楷体" w:hAnsi="楷体" w:eastAsia="楷体" w:cs="楷体"/>
          <w:sz w:val="32"/>
          <w:szCs w:val="32"/>
        </w:rPr>
      </w:pPr>
      <w:bookmarkStart w:id="23" w:name="_Toc51186935"/>
      <w:bookmarkStart w:id="24" w:name="_Toc12689"/>
      <w:r>
        <w:rPr>
          <w:rFonts w:hint="eastAsia" w:ascii="楷体" w:hAnsi="楷体" w:eastAsia="楷体" w:cs="楷体"/>
          <w:sz w:val="32"/>
          <w:szCs w:val="32"/>
          <w:lang w:val="en-US" w:eastAsia="zh-CN"/>
        </w:rPr>
        <w:t>2.3</w:t>
      </w:r>
      <w:r>
        <w:rPr>
          <w:rFonts w:hint="eastAsia" w:ascii="楷体" w:hAnsi="楷体" w:eastAsia="楷体" w:cs="楷体"/>
          <w:sz w:val="32"/>
          <w:szCs w:val="32"/>
        </w:rPr>
        <w:t>琼山区自然灾害风险分析</w:t>
      </w:r>
      <w:bookmarkEnd w:id="23"/>
      <w:bookmarkEnd w:id="24"/>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2.3.1</w:t>
      </w:r>
      <w:r>
        <w:rPr>
          <w:rFonts w:hint="eastAsia" w:ascii="仿宋" w:hAnsi="仿宋" w:eastAsia="仿宋" w:cs="宋体"/>
          <w:b/>
          <w:bCs/>
          <w:sz w:val="32"/>
          <w:szCs w:val="32"/>
        </w:rPr>
        <w:t>地形地貌及气候特点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形地貌。琼山区地处海南岛北部，跨南渡江下游东西两岸。地势北部和东南部高，东北部和南渡江沿岸低平，其中东部和东南部属于缓坡丘陵区，海拔30-100米，土壤除部分新老沉积物或变质岩发育而来外，其余都是玄武岩风化而形成，土层深厚；南渡江沿岸属于海、河沉积小平原区，海拔2.5-30米，土壤以沙壤为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气候特点。琼山区地处低纬度热带北缘，属</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"https://baike.baidu.com/item/%E7%83%AD%E5%B8%A6%E6%B5%B7%E6%B4%8B%E6%B0%94%E5%80%99"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热带海洋气候</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，年平均气温23.8℃，年平均日照1752小时，年平均降雨量1724.5毫米，</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"https://baike.baidu.com/item/%E9%9B%A8%E5%AD%A3"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雨季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一般集中在8-10月。其中春季温暖少雨，夏季高温多雨，秋季湿凉多台风暴雨，冬季干旱，冷气流侵袭时有阵寒。</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2.3.2</w:t>
      </w:r>
      <w:r>
        <w:rPr>
          <w:rFonts w:hint="eastAsia" w:ascii="仿宋" w:hAnsi="仿宋" w:eastAsia="仿宋" w:cs="宋体"/>
          <w:b/>
          <w:bCs/>
          <w:sz w:val="32"/>
          <w:szCs w:val="32"/>
        </w:rPr>
        <w:t>自然灾害风险分析</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琼山区地处低纬度热带北缘，属于热带季风气候，受季风影响，天气复杂多变，加之地形、土壤及水文复杂，是台风、暴雨、干旱、</w:t>
      </w:r>
      <w:r>
        <w:rPr>
          <w:rFonts w:hint="eastAsia" w:ascii="仿宋_GB2312" w:hAnsi="仿宋_GB2312" w:eastAsia="仿宋_GB2312" w:cs="仿宋_GB2312"/>
          <w:color w:val="auto"/>
          <w:sz w:val="32"/>
          <w:szCs w:val="32"/>
          <w:lang w:eastAsia="zh-CN"/>
        </w:rPr>
        <w:t>冰雹、</w:t>
      </w:r>
      <w:r>
        <w:rPr>
          <w:rFonts w:hint="eastAsia" w:ascii="仿宋_GB2312" w:hAnsi="仿宋_GB2312" w:eastAsia="仿宋_GB2312" w:cs="仿宋_GB2312"/>
          <w:color w:val="auto"/>
          <w:sz w:val="32"/>
          <w:szCs w:val="32"/>
        </w:rPr>
        <w:t>龙卷风等气象灾害的多发地区，其台风也是影响琼山区的主要自然灾害。因地处热带季风气候区，空气流动较快，低冷空气受到由海平面吹来的热冷空气产生空气的涡流，随气压的变化不规则的运动。一年</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台风发生主要集中在5-11月份。</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海南洪涝灾害的破坏性仅次于台风灾害；随着开发力</w:t>
      </w:r>
      <w:r>
        <w:rPr>
          <w:rFonts w:hint="eastAsia" w:ascii="仿宋_GB2312" w:hAnsi="仿宋_GB2312" w:eastAsia="仿宋_GB2312" w:cs="仿宋_GB2312"/>
          <w:color w:val="auto"/>
          <w:sz w:val="32"/>
          <w:szCs w:val="32"/>
          <w:lang w:eastAsia="zh-CN"/>
        </w:rPr>
        <w:t>度</w:t>
      </w:r>
      <w:r>
        <w:rPr>
          <w:rFonts w:hint="eastAsia" w:ascii="仿宋_GB2312" w:hAnsi="仿宋_GB2312" w:eastAsia="仿宋_GB2312" w:cs="仿宋_GB2312"/>
          <w:color w:val="auto"/>
          <w:sz w:val="32"/>
          <w:szCs w:val="32"/>
        </w:rPr>
        <w:t>不断加大，森林大量被采伐，海岸防风林被损毁，自然生态环境趋于恶化，台风灾害、洪涝灾害等自然灾害的强度和频率不断加大。</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琼山区海拔低、地势平缓，容易造成海水入侵、淹没低地、城市内涝、洪涝灾害，导致地裂缝、</w:t>
      </w:r>
      <w:r>
        <w:rPr>
          <w:rFonts w:hint="eastAsia" w:ascii="仿宋_GB2312" w:hAnsi="仿宋_GB2312" w:eastAsia="仿宋_GB2312" w:cs="仿宋_GB2312"/>
          <w:color w:val="auto"/>
          <w:sz w:val="32"/>
          <w:szCs w:val="32"/>
          <w:lang w:eastAsia="zh-CN"/>
        </w:rPr>
        <w:t>地表不均匀沉降、</w:t>
      </w:r>
      <w:r>
        <w:rPr>
          <w:rFonts w:hint="eastAsia" w:ascii="仿宋_GB2312" w:hAnsi="仿宋_GB2312" w:eastAsia="仿宋_GB2312" w:cs="仿宋_GB2312"/>
          <w:color w:val="auto"/>
          <w:sz w:val="32"/>
          <w:szCs w:val="32"/>
        </w:rPr>
        <w:t>崩塌等灾害发生。尤其是南渡江沿岸属于海、河沉积小平原区，海拔2.5-30米，土壤以沙壤为主，低洼地带较多，容易引起滑坡、被淹和地面沉降等地质灾害。</w:t>
      </w:r>
    </w:p>
    <w:p>
      <w:pPr>
        <w:pStyle w:val="3"/>
        <w:spacing w:line="560" w:lineRule="exact"/>
        <w:jc w:val="center"/>
        <w:rPr>
          <w:rFonts w:hint="eastAsia"/>
          <w:szCs w:val="32"/>
          <w:lang w:val="en-US"/>
        </w:rPr>
      </w:pPr>
      <w:bookmarkStart w:id="25" w:name="_Toc24298"/>
    </w:p>
    <w:p>
      <w:pPr>
        <w:pStyle w:val="3"/>
        <w:spacing w:line="560" w:lineRule="exact"/>
        <w:jc w:val="center"/>
        <w:rPr>
          <w:rFonts w:ascii="仿宋" w:hAnsi="仿宋" w:eastAsia="仿宋" w:cs="宋体"/>
          <w:szCs w:val="32"/>
        </w:rPr>
      </w:pPr>
      <w:bookmarkStart w:id="26" w:name="_Toc11381"/>
      <w:bookmarkStart w:id="27" w:name="_Toc13567"/>
      <w:r>
        <w:rPr>
          <w:rFonts w:hint="eastAsia" w:ascii="黑体" w:hAnsi="黑体" w:eastAsia="黑体" w:cs="黑体"/>
          <w:szCs w:val="32"/>
          <w:lang w:val="en-US" w:eastAsia="zh-CN"/>
        </w:rPr>
        <w:t>3</w:t>
      </w:r>
      <w:r>
        <w:rPr>
          <w:szCs w:val="32"/>
        </w:rPr>
        <w:t>组织指挥体系</w:t>
      </w:r>
      <w:bookmarkEnd w:id="25"/>
      <w:bookmarkEnd w:id="26"/>
      <w:bookmarkEnd w:id="27"/>
    </w:p>
    <w:p>
      <w:pPr>
        <w:spacing w:line="560" w:lineRule="exact"/>
        <w:ind w:firstLine="640" w:firstLineChars="200"/>
        <w:outlineLvl w:val="1"/>
        <w:rPr>
          <w:rFonts w:hint="eastAsia" w:ascii="楷体" w:hAnsi="楷体" w:eastAsia="楷体" w:cs="楷体"/>
          <w:sz w:val="32"/>
          <w:szCs w:val="32"/>
          <w:lang w:eastAsia="zh-CN"/>
        </w:rPr>
      </w:pPr>
      <w:bookmarkStart w:id="28" w:name="_Toc12750"/>
      <w:bookmarkStart w:id="29" w:name="_Toc3877"/>
      <w:r>
        <w:rPr>
          <w:rFonts w:hint="eastAsia" w:ascii="楷体" w:hAnsi="楷体" w:eastAsia="楷体" w:cs="楷体"/>
          <w:sz w:val="32"/>
          <w:szCs w:val="32"/>
          <w:lang w:val="en-US" w:eastAsia="zh-CN"/>
        </w:rPr>
        <w:t>3.1</w:t>
      </w:r>
      <w:r>
        <w:rPr>
          <w:rFonts w:hint="eastAsia" w:ascii="楷体" w:hAnsi="楷体" w:eastAsia="楷体" w:cs="楷体"/>
          <w:sz w:val="32"/>
          <w:szCs w:val="32"/>
        </w:rPr>
        <w:t>琼山区减灾委员会</w:t>
      </w:r>
      <w:bookmarkEnd w:id="28"/>
      <w:bookmarkEnd w:id="2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琼山区减灾委员会（以下简称区减灾委）</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sz w:val="32"/>
          <w:szCs w:val="32"/>
        </w:rPr>
        <w:t>组织协调全区灾害救助应急的综合协调机构，负责协调灾害预警预报，开展应急响应、</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救援、受灾群众生活安排及灾后恢复重建，协调引导社会力量参与救灾，指导全区开展防灾减灾等工作，组织相关成员单位召开灾情会</w:t>
      </w:r>
      <w:r>
        <w:rPr>
          <w:rFonts w:hint="eastAsia" w:ascii="仿宋_GB2312" w:hAnsi="仿宋_GB2312" w:eastAsia="仿宋_GB2312" w:cs="仿宋_GB2312"/>
          <w:color w:val="auto"/>
          <w:sz w:val="32"/>
          <w:szCs w:val="32"/>
        </w:rPr>
        <w:t>商会议。区长为区减灾委主任，</w:t>
      </w:r>
      <w:r>
        <w:rPr>
          <w:rFonts w:hint="eastAsia" w:ascii="仿宋_GB2312" w:hAnsi="仿宋_GB2312" w:eastAsia="仿宋_GB2312" w:cs="仿宋_GB2312"/>
          <w:color w:val="auto"/>
          <w:sz w:val="32"/>
          <w:szCs w:val="32"/>
          <w:lang w:eastAsia="zh-CN"/>
        </w:rPr>
        <w:t>分管工作的副区长为减灾委副主任。</w:t>
      </w:r>
      <w:r>
        <w:rPr>
          <w:rFonts w:hint="eastAsia" w:ascii="仿宋_GB2312" w:hAnsi="仿宋_GB2312" w:eastAsia="仿宋_GB2312" w:cs="仿宋_GB2312"/>
          <w:color w:val="auto"/>
          <w:sz w:val="32"/>
          <w:szCs w:val="32"/>
        </w:rPr>
        <w:t>区减灾委办公室设在区应急管理局，办公室主任由区应急管理局局长担任。区减灾</w:t>
      </w:r>
      <w:r>
        <w:rPr>
          <w:rFonts w:hint="eastAsia" w:ascii="仿宋_GB2312" w:hAnsi="仿宋_GB2312" w:eastAsia="仿宋_GB2312" w:cs="仿宋_GB2312"/>
          <w:sz w:val="32"/>
          <w:szCs w:val="32"/>
        </w:rPr>
        <w:t>委各成员单位按照各自职责做好灾害救助相关工作。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sz w:val="32"/>
          <w:szCs w:val="32"/>
          <w:lang w:eastAsia="zh-CN"/>
        </w:rPr>
      </w:pPr>
      <w:bookmarkStart w:id="30" w:name="_Toc19667"/>
      <w:bookmarkStart w:id="31" w:name="_Toc5048"/>
      <w:r>
        <w:rPr>
          <w:rFonts w:hint="eastAsia" w:ascii="楷体" w:hAnsi="楷体" w:eastAsia="楷体" w:cs="楷体"/>
          <w:sz w:val="32"/>
          <w:szCs w:val="32"/>
          <w:lang w:val="en-US" w:eastAsia="zh-CN"/>
        </w:rPr>
        <w:t>3.2</w:t>
      </w:r>
      <w:r>
        <w:rPr>
          <w:rFonts w:hint="eastAsia" w:ascii="楷体" w:hAnsi="楷体" w:eastAsia="楷体" w:cs="楷体"/>
          <w:sz w:val="32"/>
          <w:szCs w:val="32"/>
        </w:rPr>
        <w:t>琼山区减灾委员会成员单位职责</w:t>
      </w:r>
      <w:bookmarkEnd w:id="30"/>
      <w:bookmarkEnd w:id="31"/>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区政府办公室</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负责向区委、区政府领导报送自然灾害救助工作文件、信息，转办、督办区领导、市领导批示；联络、协调区减灾委各成员单位的防灾减灾救灾和救助工作，协调有关部门出台防灾减灾政策和救灾救助应急措施。</w:t>
      </w:r>
    </w:p>
    <w:p>
      <w:pPr>
        <w:spacing w:line="560"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区委宣传部：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在区减灾委员会统一领导下，负</w:t>
      </w:r>
      <w:r>
        <w:rPr>
          <w:rFonts w:hint="eastAsia" w:ascii="仿宋_GB2312" w:hAnsi="仿宋_GB2312" w:eastAsia="仿宋_GB2312" w:cs="仿宋_GB2312"/>
          <w:color w:val="000000" w:themeColor="text1"/>
          <w:sz w:val="32"/>
          <w:szCs w:val="32"/>
          <w:lang w:eastAsia="zh-CN"/>
          <w14:textFill>
            <w14:solidFill>
              <w14:schemeClr w14:val="tx1"/>
            </w14:solidFill>
          </w14:textFill>
        </w:rPr>
        <w:t>责自然灾害救援救助信息发布工作。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区应急管理局（区减灾委办公室）</w:t>
      </w:r>
      <w:r>
        <w:rPr>
          <w:rFonts w:hint="eastAsia" w:ascii="仿宋_GB2312" w:hAnsi="仿宋_GB2312" w:eastAsia="仿宋_GB2312" w:cs="仿宋_GB2312"/>
          <w:sz w:val="32"/>
          <w:szCs w:val="32"/>
        </w:rPr>
        <w:t>：负责组织、协调救灾应急救助工作；核查上报灾情，按照区政府指令统一发布灾情信息；协助各镇政府、社区做好转移、安置、慰问灾民和困难灾民基本生活救助工作；申请、分配、管理上级部门下拨和区政府安排的自然灾害救助补助资金，调拨救灾物资；指导做好灾后过渡期生活救助；组织指导救灾捐赠；指导、审核农村居民房屋损失核定工作；做好与相关成员单位的沟通与联络，组织开展灾情会商、评估。</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区发展和改革委员会</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eastAsia="zh-CN"/>
        </w:rPr>
        <w:t>受灾单位编制</w:t>
      </w:r>
      <w:r>
        <w:rPr>
          <w:rFonts w:hint="eastAsia" w:ascii="仿宋_GB2312" w:hAnsi="仿宋_GB2312" w:eastAsia="仿宋_GB2312" w:cs="仿宋_GB2312"/>
          <w:b w:val="0"/>
          <w:bCs w:val="0"/>
          <w:sz w:val="32"/>
          <w:szCs w:val="32"/>
        </w:rPr>
        <w:t>灾</w:t>
      </w:r>
      <w:r>
        <w:rPr>
          <w:rFonts w:hint="eastAsia" w:ascii="仿宋_GB2312" w:hAnsi="仿宋_GB2312" w:eastAsia="仿宋_GB2312" w:cs="仿宋_GB2312"/>
          <w:sz w:val="32"/>
          <w:szCs w:val="32"/>
        </w:rPr>
        <w:t>后重建规划和项目投资计划</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b w:val="0"/>
          <w:bCs w:val="0"/>
          <w:sz w:val="32"/>
          <w:szCs w:val="32"/>
          <w:lang w:eastAsia="zh-CN"/>
        </w:rPr>
        <w:t>协助</w:t>
      </w:r>
      <w:r>
        <w:rPr>
          <w:rFonts w:hint="eastAsia" w:ascii="仿宋_GB2312" w:hAnsi="仿宋_GB2312" w:eastAsia="仿宋_GB2312" w:cs="仿宋_GB2312"/>
          <w:sz w:val="32"/>
          <w:szCs w:val="32"/>
          <w:lang w:eastAsia="zh-CN"/>
        </w:rPr>
        <w:t>做好项目</w:t>
      </w:r>
      <w:r>
        <w:rPr>
          <w:rFonts w:hint="eastAsia" w:ascii="仿宋_GB2312" w:hAnsi="仿宋_GB2312" w:eastAsia="仿宋_GB2312" w:cs="仿宋_GB2312"/>
          <w:b w:val="0"/>
          <w:bCs w:val="0"/>
          <w:sz w:val="32"/>
          <w:szCs w:val="32"/>
          <w:lang w:eastAsia="zh-CN"/>
        </w:rPr>
        <w:t>申报</w:t>
      </w:r>
      <w:r>
        <w:rPr>
          <w:rFonts w:hint="eastAsia" w:ascii="仿宋_GB2312" w:hAnsi="仿宋_GB2312" w:eastAsia="仿宋_GB2312" w:cs="仿宋_GB2312"/>
          <w:sz w:val="32"/>
          <w:szCs w:val="32"/>
        </w:rPr>
        <w:t>；将防灾减灾工作纳入国民经济和社会发展规划，会同有关部门做好防灾减灾项目的申报、审批等工作。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区教育局：</w:t>
      </w:r>
      <w:r>
        <w:rPr>
          <w:rFonts w:hint="eastAsia" w:ascii="仿宋_GB2312" w:hAnsi="仿宋_GB2312" w:eastAsia="仿宋_GB2312" w:cs="仿宋_GB2312"/>
          <w:sz w:val="32"/>
          <w:szCs w:val="32"/>
        </w:rPr>
        <w:t>负责做好灾后学校复学等教学组织工作，协调有关部门和灾区共同做好灾后学校重建规划和校舍恢复重建工作；对学生进行防灾减灾应急知识的宣传教育及培训演练；指导、审核学校灾害损失核定工作。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区科学技术工业信息化局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组织协调工业应急物资的生产、调拨；协调各通信运营企业，及时准确发布灾害预警预报信息；协调通信运营企业迅速恢复受损的通信设施，保证救灾通讯畅通；支持和鼓励相关部门开展减灾救灾科研工作，推动科技成果转化，服务防灾减灾工作。</w:t>
      </w:r>
    </w:p>
    <w:p>
      <w:pPr>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b/>
          <w:bCs/>
          <w:sz w:val="32"/>
          <w:szCs w:val="32"/>
          <w:lang w:eastAsia="zh-CN"/>
        </w:rPr>
        <w:t>市自然资源和规划局琼山分局：</w:t>
      </w:r>
      <w:r>
        <w:rPr>
          <w:rFonts w:hint="eastAsia" w:ascii="仿宋_GB2312" w:hAnsi="仿宋_GB2312" w:eastAsia="仿宋_GB2312" w:cs="仿宋_GB2312"/>
          <w:b w:val="0"/>
          <w:bCs w:val="0"/>
          <w:sz w:val="32"/>
          <w:szCs w:val="32"/>
          <w:lang w:eastAsia="zh-CN"/>
        </w:rPr>
        <w:t>指导地质灾害群测群防、专业预报和预警等工作，协助做好地质灾害发生区域受灾群众应急救助技术支持工作，协助做好灾后重建规划、计划和实施方案，并按规定对灾后重建有关用地审批手续给予优先办理。</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市公安局琼山分局：</w:t>
      </w:r>
      <w:r>
        <w:rPr>
          <w:rFonts w:hint="eastAsia" w:ascii="仿宋_GB2312" w:hAnsi="仿宋_GB2312" w:eastAsia="仿宋_GB2312" w:cs="仿宋_GB2312"/>
          <w:sz w:val="32"/>
          <w:szCs w:val="32"/>
        </w:rPr>
        <w:t>负责灾区社会安定工作，协助组织灾区群众紧急转移安置和重大防灾减灾活动期间的现场安全警戒。</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琼山交警大队：</w:t>
      </w:r>
      <w:r>
        <w:rPr>
          <w:rFonts w:hint="eastAsia" w:ascii="仿宋_GB2312" w:hAnsi="仿宋_GB2312" w:eastAsia="仿宋_GB2312" w:cs="仿宋_GB2312"/>
          <w:sz w:val="32"/>
          <w:szCs w:val="32"/>
        </w:rPr>
        <w:t>负责灾区</w:t>
      </w:r>
      <w:r>
        <w:rPr>
          <w:rFonts w:hint="eastAsia" w:ascii="仿宋_GB2312" w:hAnsi="仿宋_GB2312" w:eastAsia="仿宋_GB2312" w:cs="仿宋_GB2312"/>
          <w:color w:val="000000"/>
          <w:spacing w:val="-7"/>
          <w:sz w:val="32"/>
          <w:szCs w:val="32"/>
        </w:rPr>
        <w:t>应急救援的道路交通管制和</w:t>
      </w:r>
      <w:r>
        <w:rPr>
          <w:rFonts w:hint="eastAsia" w:ascii="仿宋_GB2312" w:hAnsi="仿宋_GB2312" w:eastAsia="仿宋_GB2312" w:cs="仿宋_GB2312"/>
          <w:sz w:val="32"/>
          <w:szCs w:val="32"/>
        </w:rPr>
        <w:t>交通秩序的维护管理。</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区财政局：</w:t>
      </w:r>
      <w:r>
        <w:rPr>
          <w:rFonts w:hint="eastAsia" w:ascii="仿宋_GB2312" w:hAnsi="仿宋_GB2312" w:eastAsia="仿宋_GB2312" w:cs="仿宋_GB2312"/>
          <w:sz w:val="32"/>
          <w:szCs w:val="32"/>
        </w:rPr>
        <w:t>负责安排全区自然灾害救助资金，并纳入年度财政预算；与区应急管理局配合向上级申请自然灾害生活补助及灾后重建补助等专项资金，按规定管理并及时拨付自然灾害救助补助资金；统筹安排防灾减灾项目资金和救灾应急储备物资购置资金，安排救灾合理使用情况的监督检查。</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市生态环境局琼山分局</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auto"/>
          <w:sz w:val="32"/>
          <w:szCs w:val="32"/>
        </w:rPr>
        <w:t>配合有关</w:t>
      </w:r>
      <w:r>
        <w:rPr>
          <w:rFonts w:hint="eastAsia" w:ascii="仿宋_GB2312" w:hAnsi="仿宋_GB2312" w:eastAsia="仿宋_GB2312" w:cs="仿宋_GB2312"/>
          <w:sz w:val="32"/>
          <w:szCs w:val="32"/>
        </w:rPr>
        <w:t>部门做好自然灾害可能引发的环境突发事件预防工作；配合有关部门开展自然灾害应急救助过程中涉及环境保护的应急监测工作；配合有关部门开展自然灾害应急救助过程中的环境安全隐患排查工作；提出自然灾害应急救助过程中涉及环境保护内容的处置意见，配合有关部门开展应急救助工作；负责指导、审核地质灾害损失核定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区住房和城乡建设局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按照国家有关规范标准开展灾后重建各类房屋建筑及附属设施和市政工程质量监督工作；开展灾后重建工程设计建设管理的指导、协调和监督；负责被毁公路（街道）、车站等交通基础设施的抢修和维护；组织协调转移灾民所需的交通运输工具；协同公安、</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部门为运送救灾应急物资提供保障；负责指导、审核道路灾害损失核定工作。</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区水务局：</w:t>
      </w:r>
      <w:r>
        <w:rPr>
          <w:rFonts w:hint="eastAsia" w:ascii="仿宋_GB2312" w:hAnsi="仿宋_GB2312" w:eastAsia="仿宋_GB2312" w:cs="仿宋_GB2312"/>
          <w:sz w:val="32"/>
          <w:szCs w:val="32"/>
          <w:lang w:eastAsia="zh-CN"/>
        </w:rPr>
        <w:t>负责组织、协调、指导全区农村抗旱防汛及水利工程抢险工作和灾后水利设施的修复（田洋里的水利设施除外）；开展防洪避险知识宣传教育、参与培训演练；负责指导、审核水利设施灾害损失核定工作。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区农业农村局：</w:t>
      </w:r>
      <w:r>
        <w:rPr>
          <w:rFonts w:hint="eastAsia" w:ascii="仿宋_GB2312" w:hAnsi="仿宋_GB2312" w:eastAsia="仿宋_GB2312" w:cs="仿宋_GB2312"/>
          <w:sz w:val="32"/>
          <w:szCs w:val="32"/>
        </w:rPr>
        <w:t>负责农业（含牧业、渔业、林业）病虫害、森林防火的监测预报，及时发布农作物重大病虫害信息；负责农牧业病虫草动物疫病、森林防火监测防控和农牧业生产防灾减灾宣传工作；组织灾后农业生产恢复；负责指导、审核农林业灾害损失核定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区园林局：</w:t>
      </w:r>
      <w:r>
        <w:rPr>
          <w:rFonts w:hint="eastAsia" w:ascii="仿宋_GB2312" w:hAnsi="仿宋_GB2312" w:eastAsia="仿宋_GB2312" w:cs="仿宋_GB2312"/>
          <w:b w:val="0"/>
          <w:bCs w:val="0"/>
          <w:color w:val="auto"/>
          <w:sz w:val="32"/>
          <w:szCs w:val="32"/>
          <w:lang w:eastAsia="zh-CN"/>
        </w:rPr>
        <w:t>配</w:t>
      </w:r>
      <w:r>
        <w:rPr>
          <w:rFonts w:hint="eastAsia" w:ascii="仿宋_GB2312" w:hAnsi="仿宋_GB2312" w:eastAsia="仿宋_GB2312" w:cs="仿宋_GB2312"/>
          <w:b w:val="0"/>
          <w:bCs w:val="0"/>
          <w:sz w:val="32"/>
          <w:szCs w:val="32"/>
          <w:lang w:eastAsia="zh-CN"/>
        </w:rPr>
        <w:t>合森林</w:t>
      </w:r>
      <w:r>
        <w:rPr>
          <w:rFonts w:hint="eastAsia" w:ascii="仿宋_GB2312" w:hAnsi="仿宋_GB2312" w:eastAsia="仿宋_GB2312" w:cs="仿宋_GB2312"/>
          <w:b w:val="0"/>
          <w:bCs w:val="0"/>
          <w:sz w:val="32"/>
          <w:szCs w:val="32"/>
          <w:highlight w:val="none"/>
          <w:lang w:eastAsia="zh-CN"/>
        </w:rPr>
        <w:t>防</w:t>
      </w:r>
      <w:r>
        <w:rPr>
          <w:rFonts w:hint="eastAsia" w:ascii="仿宋_GB2312" w:hAnsi="仿宋_GB2312" w:eastAsia="仿宋_GB2312" w:cs="仿宋_GB2312"/>
          <w:b w:val="0"/>
          <w:bCs w:val="0"/>
          <w:sz w:val="32"/>
          <w:szCs w:val="32"/>
          <w:lang w:eastAsia="zh-CN"/>
        </w:rPr>
        <w:t>灭火主管部门做好</w:t>
      </w:r>
      <w:r>
        <w:rPr>
          <w:rFonts w:hint="eastAsia" w:ascii="仿宋_GB2312" w:hAnsi="仿宋_GB2312" w:eastAsia="仿宋_GB2312" w:cs="仿宋_GB2312"/>
          <w:sz w:val="32"/>
          <w:szCs w:val="32"/>
        </w:rPr>
        <w:t>全区园林火灾预防、监测预警；全区园林有害生物灾害防治；城市园林有害生物防治知识宣传教育、培训；指导、审核城市园林灾害损失核定工作。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区商务局：</w:t>
      </w:r>
      <w:r>
        <w:rPr>
          <w:rFonts w:hint="eastAsia" w:ascii="仿宋_GB2312" w:hAnsi="仿宋_GB2312" w:eastAsia="仿宋_GB2312" w:cs="仿宋_GB2312"/>
          <w:sz w:val="32"/>
          <w:szCs w:val="32"/>
        </w:rPr>
        <w:t>负责灾区市场价格监管，及时掌握灾区价格动态，组织开展价格监督检查；根据政府的要求，必要时采取价格干预措施，坚决打击价格违法行为；协助有关部门协调灾区生活必需品应急供应；指导、审核商贸业灾害损失核定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区旅游和文化体育局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负责指导、协调做好自然灾害中非物质文化遗产、文化遗存、图书文献资料的抢救、保护工作；做好灾后文化设施设备受灾情况的统计和灾后重建文化设施建设规划的制定。</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区卫生健康委员会</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灾区医疗救援和卫生防疫、因灾伤病人员救治、饮用水卫生监督、心理疏导干预和疫病隔离封锁等工作；对突发公共卫生事件等各类疫情疫病的防治措施和知识进行宣传；指导、审核卫生机构设施设备灾害损失核定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市市场监督管理局琼山分局：</w:t>
      </w:r>
      <w:r>
        <w:rPr>
          <w:rFonts w:hint="eastAsia" w:ascii="仿宋_GB2312" w:hAnsi="仿宋_GB2312" w:eastAsia="仿宋_GB2312" w:cs="仿宋_GB2312"/>
          <w:sz w:val="32"/>
          <w:szCs w:val="32"/>
        </w:rPr>
        <w:t>负责维护灾后市场秩序，加大市场监管力度，严厉打击囤积居奇、制假售假等违法违规行为，确保灾后市场商品质量安全，维护灾后市场秩序。</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区统计局：</w:t>
      </w:r>
      <w:r>
        <w:rPr>
          <w:rFonts w:hint="eastAsia" w:ascii="仿宋_GB2312" w:hAnsi="仿宋_GB2312" w:eastAsia="仿宋_GB2312" w:cs="仿宋_GB2312"/>
          <w:sz w:val="32"/>
          <w:szCs w:val="32"/>
        </w:rPr>
        <w:t>负责指导灾害信息汇总、整理及统计分析工作。</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区民政局：</w:t>
      </w:r>
      <w:r>
        <w:rPr>
          <w:rFonts w:hint="eastAsia" w:ascii="仿宋_GB2312" w:hAnsi="仿宋_GB2312" w:eastAsia="仿宋_GB2312" w:cs="仿宋_GB2312"/>
          <w:sz w:val="32"/>
          <w:szCs w:val="32"/>
        </w:rPr>
        <w:t>负责灾后</w:t>
      </w:r>
      <w:r>
        <w:rPr>
          <w:rFonts w:hint="eastAsia" w:ascii="仿宋_GB2312" w:hAnsi="仿宋_GB2312" w:eastAsia="仿宋_GB2312" w:cs="仿宋_GB2312"/>
          <w:sz w:val="32"/>
          <w:szCs w:val="32"/>
          <w:lang w:eastAsia="zh-CN"/>
        </w:rPr>
        <w:t>因灾困难群众救助工作。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区人民武装部：</w:t>
      </w:r>
      <w:r>
        <w:rPr>
          <w:rFonts w:hint="eastAsia" w:ascii="仿宋_GB2312" w:hAnsi="仿宋_GB2312" w:eastAsia="仿宋_GB2312" w:cs="仿宋_GB2312"/>
          <w:sz w:val="32"/>
          <w:szCs w:val="32"/>
        </w:rPr>
        <w:t>负责组织协调部队和民兵预备役人员参加抢险救灾工作。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琼山消防救援大队</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负责组织消防救援人员参加抢险救灾行动、必要时申请市、省消防救援力量的调动。</w:t>
      </w:r>
    </w:p>
    <w:p>
      <w:pPr>
        <w:spacing w:line="560" w:lineRule="exact"/>
        <w:ind w:firstLine="640" w:firstLineChars="200"/>
        <w:rPr>
          <w:rFonts w:hint="eastAsia" w:ascii="仿宋" w:hAnsi="仿宋" w:eastAsia="仿宋" w:cs="黑体"/>
          <w:b w:val="0"/>
          <w:bCs w:val="0"/>
          <w:sz w:val="32"/>
          <w:szCs w:val="32"/>
        </w:rPr>
      </w:pPr>
    </w:p>
    <w:p>
      <w:pPr>
        <w:pStyle w:val="3"/>
        <w:spacing w:line="560" w:lineRule="exact"/>
        <w:jc w:val="center"/>
      </w:pPr>
      <w:bookmarkStart w:id="32" w:name="_Toc30108"/>
      <w:bookmarkStart w:id="33" w:name="_Toc17350"/>
      <w:bookmarkStart w:id="34" w:name="_Toc790"/>
      <w:r>
        <w:rPr>
          <w:rFonts w:hint="eastAsia" w:ascii="黑体" w:hAnsi="黑体" w:eastAsia="黑体" w:cs="黑体"/>
          <w:szCs w:val="32"/>
          <w:lang w:val="en-US" w:eastAsia="zh-CN"/>
        </w:rPr>
        <w:t>4</w:t>
      </w:r>
      <w:r>
        <w:rPr>
          <w:szCs w:val="32"/>
        </w:rPr>
        <w:t>灾害预警响应</w:t>
      </w:r>
      <w:bookmarkEnd w:id="32"/>
      <w:bookmarkEnd w:id="33"/>
      <w:bookmarkEnd w:id="34"/>
    </w:p>
    <w:p>
      <w:pPr>
        <w:spacing w:line="560" w:lineRule="exact"/>
        <w:ind w:firstLine="640" w:firstLineChars="200"/>
        <w:outlineLvl w:val="1"/>
        <w:rPr>
          <w:rFonts w:hint="eastAsia" w:ascii="楷体" w:hAnsi="楷体" w:eastAsia="楷体" w:cs="楷体"/>
          <w:sz w:val="32"/>
          <w:szCs w:val="32"/>
          <w:lang w:eastAsia="zh-CN"/>
        </w:rPr>
      </w:pPr>
      <w:bookmarkStart w:id="35" w:name="_Toc28461"/>
      <w:bookmarkStart w:id="36" w:name="_Toc22361"/>
      <w:r>
        <w:rPr>
          <w:rFonts w:hint="eastAsia" w:ascii="楷体" w:hAnsi="楷体" w:eastAsia="楷体" w:cs="楷体"/>
          <w:sz w:val="32"/>
          <w:szCs w:val="32"/>
          <w:lang w:val="en-US" w:eastAsia="zh-CN"/>
        </w:rPr>
        <w:t>4.1</w:t>
      </w:r>
      <w:r>
        <w:rPr>
          <w:rFonts w:hint="eastAsia" w:ascii="楷体" w:hAnsi="楷体" w:eastAsia="楷体" w:cs="楷体"/>
          <w:sz w:val="32"/>
          <w:szCs w:val="32"/>
        </w:rPr>
        <w:t>灾害预警预报</w:t>
      </w:r>
      <w:bookmarkEnd w:id="35"/>
      <w:bookmarkEnd w:id="36"/>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区水务局的旱情以及汛情预警信息，区地震局的地震趋势预测信息，生态环境局的自然灾害风险预警信息，区农业农村</w:t>
      </w:r>
      <w:r>
        <w:rPr>
          <w:rFonts w:hint="eastAsia" w:ascii="仿宋_GB2312" w:hAnsi="仿宋_GB2312" w:eastAsia="仿宋_GB2312" w:cs="仿宋_GB2312"/>
          <w:sz w:val="32"/>
          <w:szCs w:val="32"/>
          <w:highlight w:val="none"/>
        </w:rPr>
        <w:t>局的森林</w:t>
      </w:r>
      <w:r>
        <w:rPr>
          <w:rFonts w:hint="eastAsia" w:ascii="仿宋_GB2312" w:hAnsi="仿宋_GB2312" w:eastAsia="仿宋_GB2312" w:cs="仿宋_GB2312"/>
          <w:sz w:val="32"/>
          <w:szCs w:val="32"/>
        </w:rPr>
        <w:t>火灾预警信息，要及时向区政府、减灾委办公室（应急管理局）和履行救灾</w:t>
      </w:r>
      <w:r>
        <w:rPr>
          <w:rFonts w:hint="eastAsia" w:ascii="仿宋_GB2312" w:hAnsi="仿宋_GB2312" w:eastAsia="仿宋_GB2312" w:cs="仿宋_GB2312"/>
          <w:sz w:val="32"/>
          <w:szCs w:val="32"/>
          <w:highlight w:val="none"/>
        </w:rPr>
        <w:t>职责的区</w:t>
      </w:r>
      <w:r>
        <w:rPr>
          <w:rFonts w:hint="eastAsia" w:ascii="仿宋_GB2312" w:hAnsi="仿宋_GB2312" w:eastAsia="仿宋_GB2312" w:cs="仿宋_GB2312"/>
          <w:sz w:val="32"/>
          <w:szCs w:val="32"/>
        </w:rPr>
        <w:t>减灾委成员单位进行通报。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担负灾害信息</w:t>
      </w:r>
      <w:r>
        <w:rPr>
          <w:rFonts w:hint="eastAsia" w:ascii="仿宋_GB2312" w:hAnsi="仿宋_GB2312" w:eastAsia="仿宋_GB2312" w:cs="仿宋_GB2312"/>
          <w:sz w:val="32"/>
          <w:szCs w:val="32"/>
          <w:highlight w:val="none"/>
        </w:rPr>
        <w:t>预警</w:t>
      </w:r>
      <w:r>
        <w:rPr>
          <w:rFonts w:hint="eastAsia" w:ascii="仿宋_GB2312" w:hAnsi="仿宋_GB2312" w:eastAsia="仿宋_GB2312" w:cs="仿宋_GB2312"/>
          <w:sz w:val="32"/>
          <w:szCs w:val="32"/>
        </w:rPr>
        <w:t>预报任务的成员单位应结合预警地的自然条件、人口和经济社会发展数据进行分析与评估，及时对可能受到灾害威胁的相关镇发出灾害预警信息。履行救灾职责的单位应加强值守，密切跟踪灾害风险变化和发展趋势，对灾害可能造成的损失进行动态评估，及时调整相关措施。</w:t>
      </w:r>
    </w:p>
    <w:p>
      <w:pPr>
        <w:spacing w:line="560" w:lineRule="exact"/>
        <w:ind w:firstLine="640" w:firstLineChars="200"/>
        <w:rPr>
          <w:rFonts w:ascii="仿宋" w:hAnsi="仿宋" w:eastAsia="仿宋" w:cs="宋体"/>
          <w:sz w:val="32"/>
          <w:szCs w:val="32"/>
        </w:rPr>
      </w:pPr>
      <w:r>
        <w:rPr>
          <w:rFonts w:hint="eastAsia" w:ascii="仿宋_GB2312" w:hAnsi="仿宋_GB2312" w:eastAsia="仿宋_GB2312" w:cs="仿宋_GB2312"/>
          <w:sz w:val="32"/>
          <w:szCs w:val="32"/>
        </w:rPr>
        <w:t>根据灾害预警预判，区政府对可能造成严重人员伤亡和财产损失，需紧急转移安置或需生活救助的，要做好应急准备或采取应急措施，向区委和市政府报告并通知区减灾委相关成员单位启动预警响应，按照区委部署向全区发布灾害预警响应启动情况信息。</w:t>
      </w:r>
    </w:p>
    <w:p>
      <w:pPr>
        <w:spacing w:line="560" w:lineRule="exact"/>
        <w:ind w:firstLine="640" w:firstLineChars="200"/>
        <w:outlineLvl w:val="1"/>
        <w:rPr>
          <w:rFonts w:ascii="楷体" w:hAnsi="楷体" w:eastAsia="楷体" w:cs="楷体"/>
          <w:sz w:val="32"/>
          <w:szCs w:val="32"/>
        </w:rPr>
      </w:pPr>
      <w:bookmarkStart w:id="37" w:name="_Toc17269"/>
      <w:bookmarkStart w:id="38" w:name="_Toc26270"/>
      <w:r>
        <w:rPr>
          <w:rFonts w:hint="eastAsia" w:ascii="楷体" w:hAnsi="楷体" w:eastAsia="楷体" w:cs="楷体"/>
          <w:sz w:val="32"/>
          <w:szCs w:val="32"/>
          <w:lang w:val="en-US" w:eastAsia="zh-CN"/>
        </w:rPr>
        <w:t>4.2</w:t>
      </w:r>
      <w:r>
        <w:rPr>
          <w:rFonts w:hint="eastAsia" w:ascii="楷体" w:hAnsi="楷体" w:eastAsia="楷体" w:cs="楷体"/>
          <w:sz w:val="32"/>
          <w:szCs w:val="32"/>
        </w:rPr>
        <w:t>灾害信息共享</w:t>
      </w:r>
      <w:bookmarkEnd w:id="37"/>
      <w:bookmarkEnd w:id="38"/>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担负灾害预警预报任务的区减灾委成员单位应及时汇总各类灾害预警预报信息，向其他成员单位通报预警信息，指导其做好灾害救助工作准备。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灾害风险解除或演变为灾害过后，发布灾害预警预报信息的区减灾委成员单位终止预警响应。</w:t>
      </w:r>
    </w:p>
    <w:p>
      <w:pPr>
        <w:pStyle w:val="3"/>
        <w:spacing w:line="560" w:lineRule="exact"/>
        <w:jc w:val="center"/>
        <w:rPr>
          <w:rFonts w:hint="eastAsia"/>
          <w:szCs w:val="32"/>
          <w:lang w:val="en-US"/>
        </w:rPr>
      </w:pPr>
      <w:bookmarkStart w:id="39" w:name="_Toc12966"/>
    </w:p>
    <w:p>
      <w:pPr>
        <w:pStyle w:val="3"/>
        <w:spacing w:line="560" w:lineRule="exact"/>
        <w:jc w:val="center"/>
      </w:pPr>
      <w:bookmarkStart w:id="40" w:name="_Toc26514"/>
      <w:bookmarkStart w:id="41" w:name="_Toc270"/>
      <w:r>
        <w:rPr>
          <w:rFonts w:hint="eastAsia" w:ascii="黑体" w:hAnsi="黑体" w:eastAsia="黑体" w:cs="黑体"/>
          <w:szCs w:val="32"/>
          <w:lang w:val="en-US" w:eastAsia="zh-CN"/>
        </w:rPr>
        <w:t>5</w:t>
      </w:r>
      <w:r>
        <w:rPr>
          <w:szCs w:val="32"/>
        </w:rPr>
        <w:t>信息报告和发布</w:t>
      </w:r>
      <w:bookmarkEnd w:id="39"/>
      <w:bookmarkEnd w:id="40"/>
      <w:bookmarkEnd w:id="4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区应急管理局要做好灾情信息收集、汇总、分析、上报工作；区减灾委相关成员单位依据本部门、本行业相关技术标准做好主要灾情指标数据的统计和部门间共享工作，经区政府同意后上报，并</w:t>
      </w:r>
      <w:r>
        <w:rPr>
          <w:rFonts w:hint="eastAsia" w:ascii="仿宋_GB2312" w:hAnsi="仿宋_GB2312" w:eastAsia="仿宋_GB2312" w:cs="仿宋_GB2312"/>
          <w:color w:val="auto"/>
          <w:sz w:val="32"/>
          <w:szCs w:val="32"/>
          <w:lang w:eastAsia="zh-CN"/>
        </w:rPr>
        <w:t>由区委宣传部</w:t>
      </w:r>
      <w:r>
        <w:rPr>
          <w:rFonts w:hint="eastAsia" w:ascii="仿宋_GB2312" w:hAnsi="仿宋_GB2312" w:eastAsia="仿宋_GB2312" w:cs="仿宋_GB2312"/>
          <w:color w:val="auto"/>
          <w:sz w:val="32"/>
          <w:szCs w:val="32"/>
        </w:rPr>
        <w:t>向社会发布。</w:t>
      </w:r>
    </w:p>
    <w:p>
      <w:pPr>
        <w:spacing w:line="560" w:lineRule="exact"/>
        <w:ind w:firstLine="640" w:firstLineChars="200"/>
        <w:outlineLvl w:val="1"/>
        <w:rPr>
          <w:rFonts w:ascii="楷体" w:hAnsi="楷体" w:eastAsia="楷体" w:cs="楷体"/>
          <w:sz w:val="32"/>
          <w:szCs w:val="32"/>
        </w:rPr>
      </w:pPr>
      <w:bookmarkStart w:id="42" w:name="_Toc21428"/>
      <w:bookmarkStart w:id="43" w:name="_Toc27405"/>
      <w:r>
        <w:rPr>
          <w:rFonts w:hint="eastAsia" w:ascii="楷体" w:hAnsi="楷体" w:eastAsia="楷体" w:cs="楷体"/>
          <w:sz w:val="32"/>
          <w:szCs w:val="32"/>
          <w:lang w:val="en-US" w:eastAsia="zh-CN"/>
        </w:rPr>
        <w:t>5.1</w:t>
      </w:r>
      <w:r>
        <w:rPr>
          <w:rFonts w:hint="eastAsia" w:ascii="楷体" w:hAnsi="楷体" w:eastAsia="楷体" w:cs="楷体"/>
          <w:sz w:val="32"/>
          <w:szCs w:val="32"/>
        </w:rPr>
        <w:t>灾情信息报送</w:t>
      </w:r>
      <w:bookmarkEnd w:id="42"/>
      <w:bookmarkEnd w:id="4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灾情信息报告内容包括：灾害发生的时间、地点、背景、灾害损失情况、已采取的救灾措施和灾区的需求等。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）灾情信息报告时间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突发性灾害发生后，区应急管理局应要立即将本行政区域灾情和救灾工作情况向区政府和市应急管理局、省应急管理厅报告。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对造成我行政区域内 5 人以上死亡（含失踪）或房屋大量倒塌、农田大面积受灾等严重损失的突发性灾害，区应急管理局应在灾害发生后立即上报区、市人民政府。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较大及以上级别的灾害灾情稳定前，区应急管理局要执行灾情24小时零报告制度，上报区、市人民政府；灾情发生重大变化时，区应急管理局要立即向区、市人民政府报告。灾情稳定后，区应急管理局应在5日内审核、汇总灾情数据并向区、市政府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）对干旱灾害，区应急管理局应在旱情初显、群众生产和生活受到一定影响时，初报灾情；在旱情发展过程中，每10日续报一次灾情，直至灾情解除；灾情解除后及时核报。</w:t>
      </w:r>
    </w:p>
    <w:p>
      <w:pPr>
        <w:spacing w:line="560" w:lineRule="exact"/>
        <w:ind w:firstLine="640" w:firstLineChars="200"/>
        <w:outlineLvl w:val="1"/>
        <w:rPr>
          <w:rFonts w:ascii="宋体" w:hAnsi="宋体" w:eastAsia="宋体" w:cs="宋体"/>
          <w:sz w:val="32"/>
          <w:szCs w:val="32"/>
        </w:rPr>
      </w:pPr>
      <w:bookmarkStart w:id="44" w:name="_Toc17880"/>
      <w:bookmarkStart w:id="45" w:name="_Toc22809"/>
      <w:r>
        <w:rPr>
          <w:rFonts w:hint="eastAsia" w:ascii="楷体" w:hAnsi="楷体" w:eastAsia="楷体" w:cs="楷体"/>
          <w:sz w:val="32"/>
          <w:szCs w:val="32"/>
          <w:lang w:val="en-US" w:eastAsia="zh-CN"/>
        </w:rPr>
        <w:t>5.2</w:t>
      </w:r>
      <w:r>
        <w:rPr>
          <w:rFonts w:hint="eastAsia" w:ascii="楷体" w:hAnsi="楷体" w:eastAsia="楷体" w:cs="楷体"/>
          <w:sz w:val="32"/>
          <w:szCs w:val="32"/>
        </w:rPr>
        <w:t>灾情信息管理</w:t>
      </w:r>
      <w:bookmarkEnd w:id="44"/>
      <w:bookmarkEnd w:id="4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）要建立健全灾情会商制度，区政府、区减灾委或者区应急管理局要定期或不定期组织相关部门召开灾情会商会议，全面客观评估、核定灾情数据。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区应急管理局在灾情核定后，要建立与国家自然灾害灾情管理系统中因灾死亡（失踪）人口一览表、倒塌损坏房屋一览表和受灾人员生活政府救助人口一览表数据一致的档案台账，为灾后恢复重建和开展生活救助提供可靠依据。</w:t>
      </w:r>
    </w:p>
    <w:p>
      <w:pPr>
        <w:spacing w:line="560" w:lineRule="exact"/>
        <w:ind w:firstLine="640" w:firstLineChars="200"/>
        <w:outlineLvl w:val="1"/>
        <w:rPr>
          <w:rFonts w:ascii="楷体" w:hAnsi="楷体" w:eastAsia="楷体" w:cs="楷体"/>
          <w:sz w:val="32"/>
          <w:szCs w:val="32"/>
        </w:rPr>
      </w:pPr>
      <w:bookmarkStart w:id="46" w:name="_Toc3502"/>
      <w:bookmarkStart w:id="47" w:name="_Toc345"/>
      <w:r>
        <w:rPr>
          <w:rFonts w:hint="eastAsia" w:ascii="楷体" w:hAnsi="楷体" w:eastAsia="楷体" w:cs="楷体"/>
          <w:sz w:val="32"/>
          <w:szCs w:val="32"/>
          <w:lang w:val="en-US" w:eastAsia="zh-CN"/>
        </w:rPr>
        <w:t>5.3</w:t>
      </w:r>
      <w:r>
        <w:rPr>
          <w:rFonts w:hint="eastAsia" w:ascii="楷体" w:hAnsi="楷体" w:eastAsia="楷体" w:cs="楷体"/>
          <w:sz w:val="32"/>
          <w:szCs w:val="32"/>
        </w:rPr>
        <w:t>灾情信息发布</w:t>
      </w:r>
      <w:bookmarkEnd w:id="46"/>
      <w:bookmarkEnd w:id="4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情信息发布坚持实事求是、及时准确、公开透明的原则。信息发布形式包括授权发布、组织报道、接受记者采访、举行新闻发布会等，通过重点新闻网站和政府网站、政务微博、政务微信、政务客户端等发布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信息发布责任主体：一般及以下级别灾情发生后 24 小时内，由区应急管理局牵头提供数据，</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区委宣传部</w:t>
      </w:r>
      <w:r>
        <w:rPr>
          <w:rFonts w:hint="eastAsia" w:ascii="仿宋_GB2312" w:hAnsi="仿宋_GB2312" w:eastAsia="仿宋_GB2312" w:cs="仿宋_GB2312"/>
          <w:color w:val="auto"/>
          <w:sz w:val="32"/>
          <w:szCs w:val="32"/>
        </w:rPr>
        <w:t>邀请</w:t>
      </w:r>
      <w:r>
        <w:rPr>
          <w:rFonts w:hint="eastAsia" w:ascii="仿宋_GB2312" w:hAnsi="仿宋_GB2312" w:eastAsia="仿宋_GB2312" w:cs="仿宋_GB2312"/>
          <w:sz w:val="32"/>
          <w:szCs w:val="32"/>
        </w:rPr>
        <w:t>相关成员单位参加，统一对外发布灾情，提高舆情引导能力。较大及以上级别灾害灾情信息，按照省、市政府统一部署进行发布；灾害简要灾情信息应在第一时间向新闻媒体和社会公众发布，并根据灾情发展情况做好后续信息发布工作。灾情稳定后，应及时评估、核定并按有关规定发布灾害损失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关于灾情核定和发布工作，法律法规另有规定的，从其规定。</w:t>
      </w:r>
    </w:p>
    <w:p>
      <w:pPr>
        <w:pStyle w:val="3"/>
        <w:spacing w:line="560" w:lineRule="exact"/>
        <w:jc w:val="center"/>
        <w:rPr>
          <w:rFonts w:hint="eastAsia"/>
          <w:szCs w:val="32"/>
          <w:lang w:val="en-US"/>
        </w:rPr>
      </w:pPr>
      <w:bookmarkStart w:id="48" w:name="_Toc13396"/>
    </w:p>
    <w:p>
      <w:pPr>
        <w:pStyle w:val="3"/>
        <w:spacing w:line="560" w:lineRule="exact"/>
        <w:jc w:val="center"/>
      </w:pPr>
      <w:bookmarkStart w:id="49" w:name="_Toc26750"/>
      <w:r>
        <w:rPr>
          <w:rFonts w:hint="eastAsia" w:ascii="黑体" w:hAnsi="黑体" w:eastAsia="黑体" w:cs="黑体"/>
          <w:szCs w:val="32"/>
          <w:lang w:val="en-US" w:eastAsia="zh-CN"/>
        </w:rPr>
        <w:t>6</w:t>
      </w:r>
      <w:r>
        <w:rPr>
          <w:rFonts w:hint="eastAsia"/>
          <w:szCs w:val="32"/>
        </w:rPr>
        <w:t>应急响应</w:t>
      </w:r>
      <w:bookmarkEnd w:id="48"/>
      <w:bookmarkEnd w:id="4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属地管理为主”的原则，灾害救助工作以各镇政府为主。灾害发生后，区政府相关部门应根据灾情，按照分级管理、各司其职的原则，启动相关层级和相关部门的应急预案，做好受灾群众紧急转移安置和基本生活安排、抗灾救灾、灾害监测预警、灾情调查统计、灾害损失评估和报告工作，最大限度地减少人民群众生命财产损失。</w:t>
      </w:r>
    </w:p>
    <w:p>
      <w:pPr>
        <w:spacing w:line="560" w:lineRule="exact"/>
        <w:ind w:firstLine="640" w:firstLineChars="200"/>
        <w:outlineLvl w:val="1"/>
        <w:rPr>
          <w:rFonts w:ascii="楷体" w:hAnsi="楷体" w:eastAsia="楷体" w:cs="楷体"/>
          <w:sz w:val="32"/>
          <w:szCs w:val="32"/>
        </w:rPr>
      </w:pPr>
      <w:bookmarkStart w:id="50" w:name="_Toc14276"/>
      <w:r>
        <w:rPr>
          <w:rFonts w:hint="eastAsia" w:ascii="宋体" w:hAnsi="宋体" w:eastAsia="宋体" w:cs="宋体"/>
          <w:sz w:val="32"/>
          <w:szCs w:val="32"/>
          <w:lang w:val="en-US" w:eastAsia="zh-CN"/>
        </w:rPr>
        <w:t>6.1</w:t>
      </w:r>
      <w:r>
        <w:rPr>
          <w:rFonts w:hint="eastAsia" w:ascii="宋体" w:hAnsi="宋体" w:eastAsia="宋体" w:cs="宋体"/>
          <w:sz w:val="32"/>
          <w:szCs w:val="32"/>
        </w:rPr>
        <w:t>Ⅳ</w:t>
      </w:r>
      <w:r>
        <w:rPr>
          <w:rFonts w:hint="eastAsia" w:ascii="楷体" w:hAnsi="楷体" w:eastAsia="楷体" w:cs="楷体"/>
          <w:sz w:val="32"/>
          <w:szCs w:val="32"/>
        </w:rPr>
        <w:t>级响应</w:t>
      </w:r>
      <w:bookmarkEnd w:id="50"/>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6.1.1</w:t>
      </w:r>
      <w:r>
        <w:rPr>
          <w:rFonts w:hint="eastAsia" w:ascii="仿宋" w:hAnsi="仿宋" w:eastAsia="仿宋" w:cs="宋体"/>
          <w:b/>
          <w:bCs/>
          <w:sz w:val="32"/>
          <w:szCs w:val="32"/>
        </w:rPr>
        <w:t>启动程序</w:t>
      </w:r>
    </w:p>
    <w:p>
      <w:pPr>
        <w:spacing w:line="560" w:lineRule="exact"/>
        <w:ind w:firstLine="640" w:firstLineChars="200"/>
        <w:rPr>
          <w:rFonts w:ascii="仿宋" w:hAnsi="仿宋" w:eastAsia="仿宋" w:cs="宋体"/>
          <w:color w:val="auto"/>
          <w:sz w:val="32"/>
          <w:szCs w:val="32"/>
        </w:rPr>
      </w:pPr>
      <w:r>
        <w:rPr>
          <w:rFonts w:hint="eastAsia" w:ascii="仿宋_GB2312" w:hAnsi="仿宋_GB2312" w:eastAsia="仿宋_GB2312" w:cs="仿宋_GB2312"/>
          <w:color w:val="auto"/>
          <w:sz w:val="32"/>
          <w:szCs w:val="32"/>
        </w:rPr>
        <w:t>区减灾委办公室接到灾情报告后，经分析评估，认定灾情达到启动标准，提出启动Ⅳ级响应建议，</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区减灾委主任</w:t>
      </w:r>
      <w:r>
        <w:rPr>
          <w:rFonts w:hint="eastAsia" w:ascii="仿宋_GB2312" w:hAnsi="仿宋_GB2312" w:eastAsia="仿宋_GB2312" w:cs="仿宋_GB2312"/>
          <w:color w:val="auto"/>
          <w:sz w:val="32"/>
          <w:szCs w:val="32"/>
          <w:lang w:eastAsia="zh-CN"/>
        </w:rPr>
        <w:t>决定启动</w:t>
      </w:r>
      <w:r>
        <w:rPr>
          <w:rFonts w:hint="eastAsia" w:ascii="仿宋_GB2312" w:hAnsi="仿宋_GB2312" w:eastAsia="仿宋_GB2312" w:cs="仿宋_GB2312"/>
          <w:color w:val="auto"/>
          <w:sz w:val="32"/>
          <w:szCs w:val="32"/>
        </w:rPr>
        <w:t>Ⅳ级响应。各相关部门按程序向上级主管部门及时报告。</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6.1.2</w:t>
      </w:r>
      <w:r>
        <w:rPr>
          <w:rFonts w:hint="eastAsia" w:ascii="仿宋" w:hAnsi="仿宋" w:eastAsia="仿宋" w:cs="宋体"/>
          <w:b/>
          <w:bCs/>
          <w:sz w:val="32"/>
          <w:szCs w:val="32"/>
        </w:rPr>
        <w:t>响应措施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区减灾委主任组织协调</w:t>
      </w:r>
      <w:r>
        <w:rPr>
          <w:rFonts w:hint="eastAsia" w:ascii="仿宋_GB2312" w:hAnsi="仿宋_GB2312" w:eastAsia="仿宋_GB2312" w:cs="仿宋_GB2312"/>
          <w:sz w:val="32"/>
          <w:szCs w:val="32"/>
        </w:rPr>
        <w:t>灾害救助工作，区减灾委成员单位视情采取以下措施：</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区减灾委及时组织区减灾委有关成员单位及受灾区召开商会，分析灾情，对灾区抗灾救灾工作</w:t>
      </w:r>
      <w:r>
        <w:rPr>
          <w:rFonts w:hint="eastAsia" w:ascii="仿宋_GB2312" w:hAnsi="仿宋_GB2312" w:eastAsia="仿宋_GB2312" w:cs="仿宋_GB2312"/>
          <w:color w:val="auto"/>
          <w:sz w:val="32"/>
          <w:szCs w:val="32"/>
          <w:highlight w:val="none"/>
          <w:lang w:eastAsia="zh-CN"/>
        </w:rPr>
        <w:t>作出决定</w:t>
      </w:r>
      <w:r>
        <w:rPr>
          <w:rFonts w:hint="eastAsia" w:ascii="仿宋_GB2312" w:hAnsi="仿宋_GB2312" w:eastAsia="仿宋_GB2312" w:cs="仿宋_GB2312"/>
          <w:color w:val="auto"/>
          <w:sz w:val="32"/>
          <w:szCs w:val="32"/>
        </w:rPr>
        <w:t>。及时向区</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、市减灾委上报灾情。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由区减灾委有关成员单位组成工作组赴灾区慰问受灾群众，核查灾情，帮助指导灾区开展救灾工作。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区减灾委办公室根据紧急转移安置受灾群众需要，部分或全部开放应急避难场所。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指导下设立新闻中心，按照有关规定统一发布灾情和救灾工作动态信息。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highlight w:val="none"/>
        </w:rPr>
        <w:t>受灾地镇政府</w:t>
      </w:r>
      <w:r>
        <w:rPr>
          <w:rFonts w:hint="eastAsia" w:ascii="仿宋_GB2312" w:hAnsi="仿宋_GB2312" w:eastAsia="仿宋_GB2312" w:cs="仿宋_GB2312"/>
          <w:sz w:val="32"/>
          <w:szCs w:val="32"/>
        </w:rPr>
        <w:t>申请和救灾工作需要，区财政局、区应急管理局及时下拨灾害生活补助资金。区应急管理局紧急调拨生活救助物资，指导、监督基层救灾应急措施落实和救灾款物发放。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区减灾委其他成员单位按照职责分工做好有关工作。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由区应急管理局会同</w:t>
      </w:r>
      <w:r>
        <w:rPr>
          <w:rFonts w:hint="eastAsia" w:ascii="仿宋_GB2312" w:hAnsi="仿宋_GB2312" w:eastAsia="仿宋_GB2312" w:cs="仿宋_GB2312"/>
          <w:color w:val="auto"/>
          <w:sz w:val="32"/>
          <w:szCs w:val="32"/>
          <w:lang w:eastAsia="zh-CN"/>
        </w:rPr>
        <w:t>住建部门、</w:t>
      </w:r>
      <w:r>
        <w:rPr>
          <w:rFonts w:hint="eastAsia"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镇政府</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保险承保公司，前往受灾地进行人员伤亡和房屋损失核定，</w:t>
      </w:r>
      <w:r>
        <w:rPr>
          <w:rFonts w:hint="eastAsia" w:ascii="仿宋_GB2312" w:hAnsi="仿宋_GB2312" w:eastAsia="仿宋_GB2312" w:cs="仿宋_GB2312"/>
          <w:sz w:val="32"/>
          <w:szCs w:val="32"/>
        </w:rPr>
        <w:t>制定保险理赔方案。</w:t>
      </w:r>
    </w:p>
    <w:p>
      <w:pPr>
        <w:spacing w:line="560" w:lineRule="exact"/>
        <w:ind w:firstLine="640" w:firstLineChars="200"/>
        <w:outlineLvl w:val="1"/>
        <w:rPr>
          <w:rFonts w:ascii="楷体" w:hAnsi="楷体" w:eastAsia="楷体" w:cs="楷体"/>
          <w:sz w:val="32"/>
          <w:szCs w:val="32"/>
        </w:rPr>
      </w:pPr>
      <w:bookmarkStart w:id="51" w:name="_Toc1728"/>
      <w:r>
        <w:rPr>
          <w:rFonts w:hint="eastAsia" w:ascii="宋体" w:hAnsi="宋体" w:eastAsia="宋体" w:cs="宋体"/>
          <w:sz w:val="32"/>
          <w:szCs w:val="32"/>
          <w:lang w:val="en-US" w:eastAsia="zh-CN"/>
        </w:rPr>
        <w:t>6.2</w:t>
      </w:r>
      <w:r>
        <w:rPr>
          <w:rFonts w:hint="eastAsia" w:ascii="宋体" w:hAnsi="宋体" w:eastAsia="宋体" w:cs="宋体"/>
          <w:sz w:val="32"/>
          <w:szCs w:val="32"/>
        </w:rPr>
        <w:t>Ⅲ</w:t>
      </w:r>
      <w:r>
        <w:rPr>
          <w:rFonts w:hint="eastAsia" w:ascii="楷体" w:hAnsi="楷体" w:eastAsia="楷体" w:cs="楷体"/>
          <w:sz w:val="32"/>
          <w:szCs w:val="32"/>
        </w:rPr>
        <w:t>级响应</w:t>
      </w:r>
      <w:bookmarkEnd w:id="51"/>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6.2.1</w:t>
      </w:r>
      <w:r>
        <w:rPr>
          <w:rFonts w:hint="eastAsia" w:ascii="仿宋" w:hAnsi="仿宋" w:eastAsia="仿宋" w:cs="宋体"/>
          <w:b/>
          <w:bCs/>
          <w:sz w:val="32"/>
          <w:szCs w:val="32"/>
        </w:rPr>
        <w:t>启动程序</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区减灾委办公室接到灾情报告后，经分析评估，认定灾情达到Ⅲ级响应启动标准，</w:t>
      </w:r>
      <w:r>
        <w:rPr>
          <w:rFonts w:hint="eastAsia" w:ascii="仿宋_GB2312" w:hAnsi="仿宋_GB2312" w:eastAsia="仿宋_GB2312" w:cs="仿宋_GB2312"/>
          <w:color w:val="auto"/>
          <w:sz w:val="32"/>
          <w:szCs w:val="32"/>
          <w:lang w:eastAsia="zh-CN"/>
        </w:rPr>
        <w:t>提出启动</w:t>
      </w:r>
      <w:r>
        <w:rPr>
          <w:rFonts w:hint="eastAsia" w:ascii="仿宋_GB2312" w:hAnsi="仿宋_GB2312" w:eastAsia="仿宋_GB2312" w:cs="仿宋_GB2312"/>
          <w:color w:val="auto"/>
          <w:sz w:val="32"/>
          <w:szCs w:val="32"/>
        </w:rPr>
        <w:t>Ⅲ级响应</w:t>
      </w:r>
      <w:r>
        <w:rPr>
          <w:rFonts w:hint="eastAsia" w:ascii="仿宋_GB2312" w:hAnsi="仿宋_GB2312" w:eastAsia="仿宋_GB2312" w:cs="仿宋_GB2312"/>
          <w:color w:val="auto"/>
          <w:sz w:val="32"/>
          <w:szCs w:val="32"/>
          <w:lang w:eastAsia="zh-CN"/>
        </w:rPr>
        <w:t>建议，由</w:t>
      </w:r>
      <w:r>
        <w:rPr>
          <w:rFonts w:hint="eastAsia" w:ascii="仿宋_GB2312" w:hAnsi="仿宋_GB2312" w:eastAsia="仿宋_GB2312" w:cs="仿宋_GB2312"/>
          <w:color w:val="auto"/>
          <w:sz w:val="32"/>
          <w:szCs w:val="32"/>
        </w:rPr>
        <w:t>区减灾委</w:t>
      </w:r>
      <w:r>
        <w:rPr>
          <w:rFonts w:hint="eastAsia" w:ascii="仿宋_GB2312" w:hAnsi="仿宋_GB2312" w:eastAsia="仿宋_GB2312" w:cs="仿宋_GB2312"/>
          <w:color w:val="auto"/>
          <w:sz w:val="32"/>
          <w:szCs w:val="32"/>
          <w:lang w:eastAsia="zh-CN"/>
        </w:rPr>
        <w:t>主任启动区</w:t>
      </w:r>
      <w:r>
        <w:rPr>
          <w:rFonts w:hint="eastAsia" w:ascii="仿宋_GB2312" w:hAnsi="仿宋_GB2312" w:eastAsia="仿宋_GB2312" w:cs="仿宋_GB2312"/>
          <w:color w:val="auto"/>
          <w:sz w:val="32"/>
          <w:szCs w:val="32"/>
        </w:rPr>
        <w:t>Ⅲ级响应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在区</w:t>
      </w:r>
      <w:r>
        <w:rPr>
          <w:rFonts w:hint="eastAsia" w:ascii="仿宋_GB2312" w:hAnsi="仿宋_GB2312" w:eastAsia="仿宋_GB2312" w:cs="仿宋_GB2312"/>
          <w:color w:val="auto"/>
          <w:sz w:val="32"/>
          <w:szCs w:val="32"/>
        </w:rPr>
        <w:t>积极开展救助处置前提下，同</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向海口市减灾委报告。</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6.2.2</w:t>
      </w:r>
      <w:r>
        <w:rPr>
          <w:rFonts w:hint="eastAsia" w:ascii="仿宋" w:hAnsi="仿宋" w:eastAsia="仿宋" w:cs="宋体"/>
          <w:b/>
          <w:bCs/>
          <w:sz w:val="32"/>
          <w:szCs w:val="32"/>
        </w:rPr>
        <w:t>响应措施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在上级未启动响应等级前，区减灾委按照以下措施积极开展前期救助处置工作；在海口市减灾委决定启动响应等级后，再根据上级指示要求，积极配合开展灾害救助工作。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区减灾委及时组织区减灾委有关成员单位及受灾区召开商会，分析灾情，对灾区抗灾救灾工作作出决定。及时向区委、市减灾委、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政府上报灾情。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由区减灾委有关成员单位组成工作组赴灾区慰问受灾群众，核查灾情，了解救灾工作进展情况及灾区需求，帮助指导灾区开展救灾工作。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区减灾委办公室根据紧急转移安置受灾群众需要，部分或全部开放应急避难场所。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指导下</w:t>
      </w:r>
      <w:r>
        <w:rPr>
          <w:rFonts w:hint="eastAsia" w:ascii="仿宋_GB2312" w:hAnsi="仿宋_GB2312" w:eastAsia="仿宋_GB2312" w:cs="仿宋_GB2312"/>
          <w:sz w:val="32"/>
          <w:szCs w:val="32"/>
          <w:lang w:eastAsia="zh-CN"/>
        </w:rPr>
        <w:t>视情</w:t>
      </w:r>
      <w:r>
        <w:rPr>
          <w:rFonts w:hint="eastAsia" w:ascii="仿宋_GB2312" w:hAnsi="仿宋_GB2312" w:eastAsia="仿宋_GB2312" w:cs="仿宋_GB2312"/>
          <w:sz w:val="32"/>
          <w:szCs w:val="32"/>
        </w:rPr>
        <w:t>设立新闻中心，按照有关规定统一发布灾情和救灾工作动态信息。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highlight w:val="none"/>
        </w:rPr>
        <w:t>受灾地镇政府</w:t>
      </w:r>
      <w:r>
        <w:rPr>
          <w:rFonts w:hint="eastAsia" w:ascii="仿宋_GB2312" w:hAnsi="仿宋_GB2312" w:eastAsia="仿宋_GB2312" w:cs="仿宋_GB2312"/>
          <w:sz w:val="32"/>
          <w:szCs w:val="32"/>
        </w:rPr>
        <w:t>申请和救灾工作需要，区财政局、区应急管理局及时下拨灾害生活补助资金。区应急管理局紧急调拨生活救助物资，指导、监督基层救灾应急措施落实和救灾款物发放；交通部门和有关单位协调指导开展救灾物资、人员运输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灾情稳定后，区减灾委办公室视情指导受灾区开展灾害损失评估、核定灾害损失工作。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区减灾委其他成员单位按照职责分工做好有关工作。</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由区应急管理局会同</w:t>
      </w:r>
      <w:r>
        <w:rPr>
          <w:rFonts w:hint="eastAsia" w:ascii="仿宋_GB2312" w:hAnsi="仿宋_GB2312" w:eastAsia="仿宋_GB2312" w:cs="仿宋_GB2312"/>
          <w:color w:val="auto"/>
          <w:sz w:val="32"/>
          <w:szCs w:val="32"/>
          <w:lang w:eastAsia="zh-CN"/>
        </w:rPr>
        <w:t>住建部门、</w:t>
      </w:r>
      <w:r>
        <w:rPr>
          <w:rFonts w:hint="eastAsia"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镇政府</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保险承保公司，前往受灾地进行人员伤亡和房屋损失核定，制定保险理赔方案。</w:t>
      </w:r>
    </w:p>
    <w:p>
      <w:pPr>
        <w:spacing w:line="560" w:lineRule="exact"/>
        <w:ind w:firstLine="640" w:firstLineChars="200"/>
        <w:outlineLvl w:val="1"/>
        <w:rPr>
          <w:rFonts w:ascii="楷体" w:hAnsi="楷体" w:eastAsia="楷体" w:cs="楷体"/>
          <w:sz w:val="32"/>
          <w:szCs w:val="32"/>
        </w:rPr>
      </w:pPr>
      <w:bookmarkStart w:id="52" w:name="_Toc17041"/>
      <w:r>
        <w:rPr>
          <w:rFonts w:hint="eastAsia" w:ascii="宋体" w:hAnsi="宋体" w:eastAsia="宋体" w:cs="宋体"/>
          <w:sz w:val="32"/>
          <w:szCs w:val="32"/>
          <w:lang w:val="en-US" w:eastAsia="zh-CN"/>
        </w:rPr>
        <w:t>6.3</w:t>
      </w:r>
      <w:r>
        <w:rPr>
          <w:rFonts w:hint="eastAsia" w:ascii="宋体" w:hAnsi="宋体" w:eastAsia="宋体" w:cs="宋体"/>
          <w:sz w:val="32"/>
          <w:szCs w:val="32"/>
        </w:rPr>
        <w:t>Ⅱ</w:t>
      </w:r>
      <w:r>
        <w:rPr>
          <w:rFonts w:hint="eastAsia" w:ascii="楷体" w:hAnsi="楷体" w:eastAsia="楷体" w:cs="楷体"/>
          <w:sz w:val="32"/>
          <w:szCs w:val="32"/>
        </w:rPr>
        <w:t>级响应</w:t>
      </w:r>
      <w:bookmarkEnd w:id="52"/>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6.3.1</w:t>
      </w:r>
      <w:r>
        <w:rPr>
          <w:rFonts w:hint="eastAsia" w:ascii="仿宋" w:hAnsi="仿宋" w:eastAsia="仿宋" w:cs="宋体"/>
          <w:b/>
          <w:bCs/>
          <w:sz w:val="32"/>
          <w:szCs w:val="32"/>
        </w:rPr>
        <w:t>启动程序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区减灾委办公室接到灾情报告后，经分析评估，认定灾情达到Ⅱ级响应启动标准，</w:t>
      </w:r>
      <w:r>
        <w:rPr>
          <w:rFonts w:hint="eastAsia" w:ascii="仿宋_GB2312" w:hAnsi="仿宋_GB2312" w:eastAsia="仿宋_GB2312" w:cs="仿宋_GB2312"/>
          <w:sz w:val="32"/>
          <w:szCs w:val="32"/>
          <w:lang w:eastAsia="zh-CN"/>
        </w:rPr>
        <w:t>建议启动</w:t>
      </w:r>
      <w:r>
        <w:rPr>
          <w:rFonts w:hint="eastAsia" w:ascii="仿宋_GB2312" w:hAnsi="仿宋_GB2312" w:eastAsia="仿宋_GB2312" w:cs="仿宋_GB2312"/>
          <w:sz w:val="32"/>
          <w:szCs w:val="32"/>
        </w:rPr>
        <w:t>Ⅱ级响应</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区减灾委</w:t>
      </w:r>
      <w:r>
        <w:rPr>
          <w:rFonts w:hint="eastAsia" w:ascii="仿宋_GB2312" w:hAnsi="仿宋_GB2312" w:eastAsia="仿宋_GB2312" w:cs="仿宋_GB2312"/>
          <w:sz w:val="32"/>
          <w:szCs w:val="32"/>
          <w:lang w:eastAsia="zh-CN"/>
        </w:rPr>
        <w:t>主任启动区</w:t>
      </w:r>
      <w:r>
        <w:rPr>
          <w:rFonts w:hint="eastAsia" w:ascii="仿宋_GB2312" w:hAnsi="仿宋_GB2312" w:eastAsia="仿宋_GB2312" w:cs="仿宋_GB2312"/>
          <w:sz w:val="32"/>
          <w:szCs w:val="32"/>
        </w:rPr>
        <w:t>Ⅱ级响应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在区</w:t>
      </w:r>
      <w:r>
        <w:rPr>
          <w:rFonts w:hint="eastAsia" w:ascii="仿宋_GB2312" w:hAnsi="仿宋_GB2312" w:eastAsia="仿宋_GB2312" w:cs="仿宋_GB2312"/>
          <w:sz w:val="32"/>
          <w:szCs w:val="32"/>
        </w:rPr>
        <w:t>积极开展救助处置前提下，同</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向海口市减灾委报告。</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6.3.2</w:t>
      </w:r>
      <w:r>
        <w:rPr>
          <w:rFonts w:hint="eastAsia" w:ascii="仿宋" w:hAnsi="仿宋" w:eastAsia="仿宋" w:cs="宋体"/>
          <w:b/>
          <w:bCs/>
          <w:sz w:val="32"/>
          <w:szCs w:val="32"/>
        </w:rPr>
        <w:t>响应措施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减灾委未启动响应等级前，区减灾委按照以下措施积极开展前期救助处置；在海口市减灾委决定启动响应等级后，再根据上级指示要求，积极配合开展灾害救助工作。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区委、区政府要及时向市委、市政府、省应急管理厅上报灾情。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区减灾委主任召集区政府有关部门和单位，对灾害应急救助重大事项</w:t>
      </w:r>
      <w:r>
        <w:rPr>
          <w:rFonts w:hint="eastAsia" w:ascii="仿宋_GB2312" w:hAnsi="仿宋_GB2312" w:eastAsia="仿宋_GB2312" w:cs="仿宋_GB2312"/>
          <w:sz w:val="32"/>
          <w:szCs w:val="32"/>
          <w:highlight w:val="none"/>
        </w:rPr>
        <w:t>做出决定</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根据区减灾委主任安排部署，区减灾委相关成员单位组成工作组赴灾区慰问救助受灾群众，查灾核灾，了解救灾工作进展情况及灾区需求，帮助指导灾区开展救灾工作。及时组织有关部</w:t>
      </w:r>
      <w:r>
        <w:rPr>
          <w:rFonts w:hint="eastAsia" w:ascii="仿宋_GB2312" w:hAnsi="仿宋_GB2312" w:eastAsia="仿宋_GB2312" w:cs="仿宋_GB2312"/>
          <w:color w:val="auto"/>
          <w:sz w:val="32"/>
          <w:szCs w:val="32"/>
        </w:rPr>
        <w:t>门召开会议召开商会，提出</w:t>
      </w:r>
      <w:r>
        <w:rPr>
          <w:rFonts w:hint="eastAsia" w:ascii="仿宋_GB2312" w:hAnsi="仿宋_GB2312" w:eastAsia="仿宋_GB2312" w:cs="仿宋_GB2312"/>
          <w:sz w:val="32"/>
          <w:szCs w:val="32"/>
        </w:rPr>
        <w:t>救灾方案。区减灾委办公室根据紧急转移安置受灾群众需要，部分或全部开放应急避难场所。区减灾委有关成员单位做好灾情、灾区需求及救灾工作动态等信息共享，及时向</w:t>
      </w:r>
      <w:r>
        <w:rPr>
          <w:rFonts w:hint="eastAsia" w:ascii="仿宋_GB2312" w:hAnsi="仿宋_GB2312" w:eastAsia="仿宋_GB2312" w:cs="仿宋_GB2312"/>
          <w:sz w:val="32"/>
          <w:szCs w:val="32"/>
          <w:lang w:eastAsia="zh-CN"/>
        </w:rPr>
        <w:t>区政府办公室</w:t>
      </w:r>
      <w:r>
        <w:rPr>
          <w:rFonts w:hint="eastAsia" w:ascii="仿宋_GB2312" w:hAnsi="仿宋_GB2312" w:eastAsia="仿宋_GB2312" w:cs="仿宋_GB2312"/>
          <w:sz w:val="32"/>
          <w:szCs w:val="32"/>
        </w:rPr>
        <w:t>通报有关情况。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根据受灾</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镇政府申请和救灾工作需要，区财政局、区应急管理局及时下拨灾害生活补助资金。区应急管理局紧急调拨生活救助物资，指导、监督基层救灾应急措施落实和救灾款物发放；区政府根据灾情的需要请求市政府，组织协调部队、武警</w:t>
      </w:r>
      <w:r>
        <w:rPr>
          <w:rFonts w:hint="eastAsia" w:ascii="仿宋_GB2312" w:hAnsi="仿宋_GB2312" w:eastAsia="仿宋_GB2312" w:cs="仿宋_GB2312"/>
          <w:color w:val="auto"/>
          <w:sz w:val="32"/>
          <w:szCs w:val="32"/>
        </w:rPr>
        <w:t>、民兵、预备役人员参加抢险救</w:t>
      </w:r>
      <w:r>
        <w:rPr>
          <w:rFonts w:hint="eastAsia" w:ascii="仿宋_GB2312" w:hAnsi="仿宋_GB2312" w:eastAsia="仿宋_GB2312" w:cs="仿宋_GB2312"/>
          <w:sz w:val="32"/>
          <w:szCs w:val="32"/>
        </w:rPr>
        <w:t>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由区应急管理局牵头提供数据由</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设立新闻中心，按照有关规定统一发布灾情和救灾工作动态信息。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区减灾委相关成员单位按照职责分工执行 24 小时值班制度，每日及时汇总灾害信息和救灾工作动态，重大情况随时报告。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灾情稳定后，根据区委区政府关于灾害评估工作的有关部署，受灾</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镇政府、区应急管理局和成员单位组织开展灾害、损失评估工作。</w:t>
      </w:r>
    </w:p>
    <w:p>
      <w:pPr>
        <w:spacing w:line="560" w:lineRule="exact"/>
        <w:ind w:firstLine="640" w:firstLineChars="200"/>
        <w:rPr>
          <w:rFonts w:ascii="仿宋" w:hAnsi="仿宋" w:eastAsia="仿宋" w:cs="宋体"/>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由区应急管理局会同</w:t>
      </w:r>
      <w:r>
        <w:rPr>
          <w:rFonts w:hint="eastAsia" w:ascii="仿宋_GB2312" w:hAnsi="仿宋_GB2312" w:eastAsia="仿宋_GB2312" w:cs="仿宋_GB2312"/>
          <w:color w:val="auto"/>
          <w:sz w:val="32"/>
          <w:szCs w:val="32"/>
          <w:lang w:eastAsia="zh-CN"/>
        </w:rPr>
        <w:t>住建部门、</w:t>
      </w:r>
      <w:r>
        <w:rPr>
          <w:rFonts w:hint="eastAsia"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镇政府</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保险承保公司，前往受灾地进行人员伤亡和房屋损失核定，</w:t>
      </w:r>
      <w:r>
        <w:rPr>
          <w:rFonts w:hint="eastAsia" w:ascii="仿宋_GB2312" w:hAnsi="仿宋_GB2312" w:eastAsia="仿宋_GB2312" w:cs="仿宋_GB2312"/>
          <w:sz w:val="32"/>
          <w:szCs w:val="32"/>
        </w:rPr>
        <w:t>制定保险理赔方案。</w:t>
      </w:r>
    </w:p>
    <w:p>
      <w:pPr>
        <w:spacing w:line="560" w:lineRule="exact"/>
        <w:ind w:firstLine="640" w:firstLineChars="200"/>
        <w:outlineLvl w:val="1"/>
        <w:rPr>
          <w:rFonts w:ascii="仿宋" w:hAnsi="仿宋" w:eastAsia="仿宋" w:cs="宋体"/>
          <w:sz w:val="32"/>
          <w:szCs w:val="32"/>
        </w:rPr>
      </w:pPr>
      <w:bookmarkStart w:id="53" w:name="_Toc14141"/>
      <w:r>
        <w:rPr>
          <w:rFonts w:hint="eastAsia" w:ascii="宋体" w:hAnsi="宋体" w:eastAsia="宋体" w:cs="宋体"/>
          <w:sz w:val="32"/>
          <w:szCs w:val="32"/>
          <w:lang w:val="en-US" w:eastAsia="zh-CN"/>
        </w:rPr>
        <w:t>6.4</w:t>
      </w:r>
      <w:r>
        <w:rPr>
          <w:rFonts w:hint="eastAsia" w:ascii="宋体" w:hAnsi="宋体" w:eastAsia="宋体" w:cs="宋体"/>
          <w:sz w:val="32"/>
          <w:szCs w:val="32"/>
        </w:rPr>
        <w:t>Ⅰ</w:t>
      </w:r>
      <w:r>
        <w:rPr>
          <w:rFonts w:hint="eastAsia" w:ascii="楷体" w:hAnsi="楷体" w:eastAsia="楷体" w:cs="楷体"/>
          <w:sz w:val="32"/>
          <w:szCs w:val="32"/>
        </w:rPr>
        <w:t>级响应</w:t>
      </w:r>
      <w:bookmarkEnd w:id="53"/>
    </w:p>
    <w:p>
      <w:pPr>
        <w:spacing w:line="560" w:lineRule="exact"/>
        <w:ind w:firstLine="643" w:firstLineChars="200"/>
        <w:rPr>
          <w:rFonts w:hint="eastAsia" w:ascii="仿宋" w:hAnsi="仿宋" w:eastAsia="仿宋" w:cs="宋体"/>
          <w:b/>
          <w:bCs/>
          <w:color w:val="FF0000"/>
          <w:sz w:val="32"/>
          <w:szCs w:val="32"/>
          <w:lang w:eastAsia="zh-CN"/>
        </w:rPr>
      </w:pPr>
      <w:r>
        <w:rPr>
          <w:rFonts w:hint="eastAsia" w:ascii="仿宋" w:hAnsi="仿宋" w:eastAsia="仿宋" w:cs="宋体"/>
          <w:b/>
          <w:bCs/>
          <w:sz w:val="32"/>
          <w:szCs w:val="32"/>
          <w:lang w:val="en-US" w:eastAsia="zh-CN"/>
        </w:rPr>
        <w:t>6.4.1</w:t>
      </w:r>
      <w:r>
        <w:rPr>
          <w:rFonts w:hint="eastAsia" w:ascii="仿宋" w:hAnsi="仿宋" w:eastAsia="仿宋" w:cs="宋体"/>
          <w:b/>
          <w:bCs/>
          <w:sz w:val="32"/>
          <w:szCs w:val="32"/>
        </w:rPr>
        <w:t>启动程序</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区减灾委</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接到灾情报告后，经分析评估，认定灾情达到Ⅰ级响应启动标准，</w:t>
      </w:r>
      <w:r>
        <w:rPr>
          <w:rFonts w:hint="eastAsia" w:ascii="仿宋_GB2312" w:hAnsi="仿宋_GB2312" w:eastAsia="仿宋_GB2312" w:cs="仿宋_GB2312"/>
          <w:color w:val="auto"/>
          <w:sz w:val="32"/>
          <w:szCs w:val="32"/>
          <w:lang w:eastAsia="zh-CN"/>
        </w:rPr>
        <w:t>建议启动</w:t>
      </w:r>
      <w:r>
        <w:rPr>
          <w:rFonts w:hint="eastAsia" w:ascii="仿宋_GB2312" w:hAnsi="仿宋_GB2312" w:eastAsia="仿宋_GB2312" w:cs="仿宋_GB2312"/>
          <w:color w:val="auto"/>
          <w:sz w:val="32"/>
          <w:szCs w:val="32"/>
        </w:rPr>
        <w:t>Ⅰ级响应</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区减灾委</w:t>
      </w:r>
      <w:r>
        <w:rPr>
          <w:rFonts w:hint="eastAsia" w:ascii="仿宋_GB2312" w:hAnsi="仿宋_GB2312" w:eastAsia="仿宋_GB2312" w:cs="仿宋_GB2312"/>
          <w:color w:val="auto"/>
          <w:sz w:val="32"/>
          <w:szCs w:val="32"/>
          <w:lang w:eastAsia="zh-CN"/>
        </w:rPr>
        <w:t>主任启动区</w:t>
      </w:r>
      <w:r>
        <w:rPr>
          <w:rFonts w:hint="eastAsia" w:ascii="仿宋_GB2312" w:hAnsi="仿宋_GB2312" w:eastAsia="仿宋_GB2312" w:cs="仿宋_GB2312"/>
          <w:color w:val="auto"/>
          <w:sz w:val="32"/>
          <w:szCs w:val="32"/>
        </w:rPr>
        <w:t>Ⅰ级</w:t>
      </w:r>
      <w:r>
        <w:rPr>
          <w:rFonts w:hint="eastAsia" w:ascii="仿宋_GB2312" w:hAnsi="仿宋_GB2312" w:eastAsia="仿宋_GB2312" w:cs="仿宋_GB2312"/>
          <w:color w:val="auto"/>
          <w:sz w:val="32"/>
          <w:szCs w:val="32"/>
          <w:lang w:eastAsia="zh-CN"/>
        </w:rPr>
        <w:t>响应。</w:t>
      </w:r>
      <w:r>
        <w:rPr>
          <w:rFonts w:hint="eastAsia" w:ascii="仿宋_GB2312" w:hAnsi="仿宋_GB2312" w:eastAsia="仿宋_GB2312" w:cs="仿宋_GB2312"/>
          <w:color w:val="auto"/>
          <w:sz w:val="32"/>
          <w:szCs w:val="32"/>
          <w:highlight w:val="none"/>
        </w:rPr>
        <w:t>在区</w:t>
      </w:r>
      <w:r>
        <w:rPr>
          <w:rFonts w:hint="eastAsia" w:ascii="仿宋_GB2312" w:hAnsi="仿宋_GB2312" w:eastAsia="仿宋_GB2312" w:cs="仿宋_GB2312"/>
          <w:color w:val="auto"/>
          <w:sz w:val="32"/>
          <w:szCs w:val="32"/>
        </w:rPr>
        <w:t>积极开展救助处置前提下，同</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向海口市减灾委报告。</w:t>
      </w: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lang w:val="en-US" w:eastAsia="zh-CN"/>
        </w:rPr>
        <w:t>6.4.2</w:t>
      </w:r>
      <w:r>
        <w:rPr>
          <w:rFonts w:hint="eastAsia" w:ascii="仿宋" w:hAnsi="仿宋" w:eastAsia="仿宋" w:cs="宋体"/>
          <w:b/>
          <w:bCs/>
          <w:sz w:val="32"/>
          <w:szCs w:val="32"/>
        </w:rPr>
        <w:t>响应措施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减灾委未启动响应等级前，区减灾委按照以下措施积极开展前期救助处置；在</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减灾委决定启动响应等级后，再根据上级指示要求，积极配合开展灾害救助工作。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区委或区政府要及时向市委、市政府、省应急管理厅，省委、省政府上报灾情。</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由区长或副区长召集区政府有关部门和单位，对灾害应急救助</w:t>
      </w:r>
      <w:r>
        <w:rPr>
          <w:rFonts w:hint="eastAsia" w:ascii="仿宋_GB2312" w:hAnsi="仿宋_GB2312" w:eastAsia="仿宋_GB2312" w:cs="仿宋_GB2312"/>
          <w:color w:val="auto"/>
          <w:sz w:val="32"/>
          <w:szCs w:val="32"/>
          <w:lang w:eastAsia="zh-CN"/>
        </w:rPr>
        <w:t>中本区职权范围内的</w:t>
      </w:r>
      <w:r>
        <w:rPr>
          <w:rFonts w:hint="eastAsia" w:ascii="仿宋_GB2312" w:hAnsi="仿宋_GB2312" w:eastAsia="仿宋_GB2312" w:cs="仿宋_GB2312"/>
          <w:color w:val="auto"/>
          <w:sz w:val="32"/>
          <w:szCs w:val="32"/>
        </w:rPr>
        <w:t>重大事项</w:t>
      </w:r>
      <w:r>
        <w:rPr>
          <w:rFonts w:hint="eastAsia" w:ascii="仿宋_GB2312" w:hAnsi="仿宋_GB2312" w:eastAsia="仿宋_GB2312" w:cs="仿宋_GB2312"/>
          <w:color w:val="auto"/>
          <w:sz w:val="32"/>
          <w:szCs w:val="32"/>
          <w:highlight w:val="none"/>
        </w:rPr>
        <w:t>做出决定</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根据区政府安排部署，有关部门组成工</w:t>
      </w:r>
      <w:r>
        <w:rPr>
          <w:rFonts w:hint="eastAsia" w:ascii="仿宋_GB2312" w:hAnsi="仿宋_GB2312" w:eastAsia="仿宋_GB2312" w:cs="仿宋_GB2312"/>
          <w:sz w:val="32"/>
          <w:szCs w:val="32"/>
        </w:rPr>
        <w:t>作组赴灾区慰问受灾群众，查灾核灾，了解救灾工作进展情况及灾区需求，帮助指导灾区开展救灾工作。及时组织有关部门召开商会，提出救灾方案。区减灾委办公室根据紧急转移安置受灾群众需要，部分或全部开放应急避难场所。区减灾委有关成员单位做好灾情、灾区需求及救灾工作动态等信息共享，及时向区减灾委办公室通报有关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）在上级统一指挥下，</w:t>
      </w:r>
      <w:r>
        <w:rPr>
          <w:rFonts w:hint="eastAsia" w:ascii="仿宋_GB2312" w:hAnsi="仿宋_GB2312" w:eastAsia="仿宋_GB2312" w:cs="仿宋_GB2312"/>
          <w:color w:val="auto"/>
          <w:sz w:val="32"/>
          <w:szCs w:val="32"/>
        </w:rPr>
        <w:t>区政府有关部门组织协调部队、武警、民兵、预备役人员参加抢险</w:t>
      </w:r>
      <w:r>
        <w:rPr>
          <w:rFonts w:hint="eastAsia" w:ascii="仿宋_GB2312" w:hAnsi="仿宋_GB2312" w:eastAsia="仿宋_GB2312" w:cs="仿宋_GB2312"/>
          <w:sz w:val="32"/>
          <w:szCs w:val="32"/>
        </w:rPr>
        <w:t>救灾，根据受灾</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申请和救灾工作需要，区财政局、区应急管理局及时下拨灾害生活补助资金。区应急管理局紧急调拨生活救助物资，指导、监督基层救灾应急措施落实和救灾款物发放。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的指导下设立新闻中心，按照有关规定统一发布灾情和救灾工作动态信息。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区减灾委相关成员单位按照职责分工执行 24 小时值班制度，每日及时汇总灾害信息和救灾工作动态，重大情况随时报告。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灾情稳定后，根据区委区政府关于灾害评估工作的有关部署，受灾</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镇政府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和成员单位组织开展灾害损失评估工作。</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由区应急管理局会同</w:t>
      </w:r>
      <w:r>
        <w:rPr>
          <w:rFonts w:hint="eastAsia" w:ascii="仿宋_GB2312" w:hAnsi="仿宋_GB2312" w:eastAsia="仿宋_GB2312" w:cs="仿宋_GB2312"/>
          <w:color w:val="auto"/>
          <w:sz w:val="32"/>
          <w:szCs w:val="32"/>
          <w:lang w:eastAsia="zh-CN"/>
        </w:rPr>
        <w:t>住建部门、</w:t>
      </w:r>
      <w:r>
        <w:rPr>
          <w:rFonts w:hint="eastAsia"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镇政府</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保险承保公司，前往受灾地进行人员伤亡和房屋损失核定，制定保险理赔方案。</w:t>
      </w:r>
    </w:p>
    <w:p>
      <w:pPr>
        <w:spacing w:line="560" w:lineRule="exact"/>
        <w:ind w:firstLine="640" w:firstLineChars="200"/>
        <w:outlineLvl w:val="1"/>
        <w:rPr>
          <w:rFonts w:ascii="楷体" w:hAnsi="楷体" w:eastAsia="楷体" w:cs="楷体"/>
          <w:sz w:val="32"/>
          <w:szCs w:val="32"/>
        </w:rPr>
      </w:pPr>
      <w:bookmarkStart w:id="54" w:name="_Toc14733"/>
      <w:r>
        <w:rPr>
          <w:rFonts w:hint="eastAsia" w:ascii="楷体" w:hAnsi="楷体" w:eastAsia="楷体" w:cs="楷体"/>
          <w:sz w:val="32"/>
          <w:szCs w:val="32"/>
          <w:lang w:val="en-US" w:eastAsia="zh-CN"/>
        </w:rPr>
        <w:t>6.5</w:t>
      </w:r>
      <w:r>
        <w:rPr>
          <w:rFonts w:hint="eastAsia" w:ascii="楷体" w:hAnsi="楷体" w:eastAsia="楷体" w:cs="楷体"/>
          <w:sz w:val="32"/>
          <w:szCs w:val="32"/>
        </w:rPr>
        <w:t>响应终止</w:t>
      </w:r>
      <w:bookmarkEnd w:id="54"/>
    </w:p>
    <w:p>
      <w:pPr>
        <w:spacing w:line="560" w:lineRule="exact"/>
        <w:ind w:firstLine="640" w:firstLineChars="200"/>
        <w:rPr>
          <w:rFonts w:ascii="仿宋" w:hAnsi="仿宋" w:eastAsia="仿宋" w:cs="宋体"/>
          <w:sz w:val="32"/>
          <w:szCs w:val="32"/>
        </w:rPr>
      </w:pPr>
      <w:r>
        <w:rPr>
          <w:rFonts w:hint="eastAsia" w:ascii="仿宋_GB2312" w:hAnsi="仿宋_GB2312" w:eastAsia="仿宋_GB2312" w:cs="仿宋_GB2312"/>
          <w:sz w:val="32"/>
          <w:szCs w:val="32"/>
        </w:rPr>
        <w:t>救灾应急工作结束后，由区减灾委办公室提出建议，由应急响应启动决定者终止响应。</w:t>
      </w:r>
    </w:p>
    <w:p>
      <w:pPr>
        <w:pStyle w:val="3"/>
        <w:spacing w:line="560" w:lineRule="exact"/>
        <w:jc w:val="center"/>
        <w:rPr>
          <w:rFonts w:hint="eastAsia"/>
          <w:szCs w:val="32"/>
          <w:lang w:val="en-US"/>
        </w:rPr>
      </w:pPr>
      <w:bookmarkStart w:id="55" w:name="_Toc4183"/>
    </w:p>
    <w:p>
      <w:pPr>
        <w:pStyle w:val="3"/>
        <w:spacing w:line="560" w:lineRule="exact"/>
        <w:jc w:val="center"/>
      </w:pPr>
      <w:bookmarkStart w:id="56" w:name="_Toc18319"/>
      <w:bookmarkStart w:id="57" w:name="_Toc1283"/>
      <w:r>
        <w:rPr>
          <w:rFonts w:hint="eastAsia" w:ascii="黑体" w:hAnsi="黑体" w:eastAsia="黑体" w:cs="黑体"/>
          <w:szCs w:val="32"/>
          <w:lang w:val="en-US" w:eastAsia="zh-CN"/>
        </w:rPr>
        <w:t>7</w:t>
      </w:r>
      <w:r>
        <w:rPr>
          <w:rFonts w:hint="eastAsia"/>
          <w:szCs w:val="32"/>
        </w:rPr>
        <w:t>灾后救助与恢复重建</w:t>
      </w:r>
      <w:bookmarkEnd w:id="55"/>
      <w:bookmarkEnd w:id="56"/>
      <w:bookmarkEnd w:id="57"/>
    </w:p>
    <w:p>
      <w:pPr>
        <w:spacing w:line="560" w:lineRule="exact"/>
        <w:ind w:firstLine="640" w:firstLineChars="200"/>
        <w:outlineLvl w:val="1"/>
        <w:rPr>
          <w:rFonts w:ascii="楷体" w:hAnsi="楷体" w:eastAsia="楷体" w:cs="楷体"/>
          <w:sz w:val="32"/>
          <w:szCs w:val="32"/>
        </w:rPr>
      </w:pPr>
      <w:bookmarkStart w:id="58" w:name="_Toc435"/>
      <w:bookmarkStart w:id="59" w:name="_Toc31973"/>
      <w:r>
        <w:rPr>
          <w:rFonts w:hint="eastAsia" w:ascii="楷体" w:hAnsi="楷体" w:eastAsia="楷体" w:cs="楷体"/>
          <w:sz w:val="32"/>
          <w:szCs w:val="32"/>
          <w:lang w:val="en-US" w:eastAsia="zh-CN"/>
        </w:rPr>
        <w:t>7.1</w:t>
      </w:r>
      <w:r>
        <w:rPr>
          <w:rFonts w:hint="eastAsia" w:ascii="楷体" w:hAnsi="楷体" w:eastAsia="楷体" w:cs="楷体"/>
          <w:sz w:val="32"/>
          <w:szCs w:val="32"/>
        </w:rPr>
        <w:t>过渡期生活救助</w:t>
      </w:r>
      <w:bookmarkEnd w:id="58"/>
      <w:bookmarkEnd w:id="5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）特别重大、重大、较大灾害发生后，区减灾委办公室组织区减灾委相关成员单位及区应急管理局开展灾区过渡期生活救助需求情况评估，提出过渡期救助需求、标准和时限，上报区、市政府和省应急管理厅。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）区财政局、区应急管理局及时向市财政局、省应急管理厅申请受灾群众过渡期生活救助补助资金并及时拨付。区应急管理局指导灾区各镇政府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做好过渡期生活救助的人员核定、资金发放等工作。区应急管理局、区财政局监督检查灾区过渡期生活救助政策和措施的落实，定期通报灾区救助工作情况，过渡期生活救助工作结束后组织绩效评估并向区、市人民政府、省应急管理厅上报受灾群众过渡期生活救助情况报告。</w:t>
      </w:r>
    </w:p>
    <w:p>
      <w:pPr>
        <w:spacing w:line="560" w:lineRule="exact"/>
        <w:ind w:firstLine="640" w:firstLineChars="200"/>
        <w:outlineLvl w:val="1"/>
        <w:rPr>
          <w:rFonts w:ascii="楷体" w:hAnsi="楷体" w:eastAsia="楷体" w:cs="楷体"/>
          <w:sz w:val="32"/>
          <w:szCs w:val="32"/>
        </w:rPr>
      </w:pPr>
      <w:bookmarkStart w:id="60" w:name="_Toc9283"/>
      <w:bookmarkStart w:id="61" w:name="_Toc10330"/>
      <w:r>
        <w:rPr>
          <w:rFonts w:hint="eastAsia" w:ascii="楷体" w:hAnsi="楷体" w:eastAsia="楷体" w:cs="楷体"/>
          <w:sz w:val="32"/>
          <w:szCs w:val="32"/>
          <w:lang w:val="en-US" w:eastAsia="zh-CN"/>
        </w:rPr>
        <w:t>7.2</w:t>
      </w:r>
      <w:r>
        <w:rPr>
          <w:rFonts w:hint="eastAsia" w:ascii="楷体" w:hAnsi="楷体" w:eastAsia="楷体" w:cs="楷体"/>
          <w:sz w:val="32"/>
          <w:szCs w:val="32"/>
        </w:rPr>
        <w:t>灾害救助</w:t>
      </w:r>
      <w:bookmarkEnd w:id="60"/>
      <w:bookmarkEnd w:id="6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灾害发生后的当年冬季、次年春季，区</w:t>
      </w:r>
      <w:r>
        <w:rPr>
          <w:rFonts w:hint="eastAsia" w:ascii="仿宋_GB2312" w:hAnsi="仿宋_GB2312" w:eastAsia="仿宋_GB2312" w:cs="仿宋_GB2312"/>
          <w:sz w:val="32"/>
          <w:szCs w:val="32"/>
        </w:rPr>
        <w:t>政府要为生活困难的受灾群众提供基本生活救助。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）受灾地镇</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和区应急管理局应在每年开展冬春受灾群众生活困难情况调查摸底；组织开展受灾群众生活困难状况评估，核实情况。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）受灾地镇</w:t>
      </w:r>
      <w:r>
        <w:rPr>
          <w:rFonts w:hint="eastAsia" w:ascii="仿宋_GB2312" w:hAnsi="仿宋_GB2312" w:eastAsia="仿宋_GB2312" w:cs="仿宋_GB2312"/>
          <w:sz w:val="32"/>
          <w:szCs w:val="32"/>
          <w:lang w:eastAsia="zh-CN"/>
        </w:rPr>
        <w:t>政府（街道办事处）</w:t>
      </w:r>
      <w:r>
        <w:rPr>
          <w:rFonts w:hint="eastAsia" w:ascii="仿宋_GB2312" w:hAnsi="仿宋_GB2312" w:eastAsia="仿宋_GB2312" w:cs="仿宋_GB2312"/>
          <w:sz w:val="32"/>
          <w:szCs w:val="32"/>
        </w:rPr>
        <w:t>和区应急管理局每年要统计、评估本行政区域受灾</w:t>
      </w:r>
      <w:r>
        <w:rPr>
          <w:rFonts w:hint="eastAsia" w:ascii="仿宋_GB2312" w:hAnsi="仿宋_GB2312" w:eastAsia="仿宋_GB2312" w:cs="仿宋_GB2312"/>
          <w:color w:val="auto"/>
          <w:sz w:val="32"/>
          <w:szCs w:val="32"/>
        </w:rPr>
        <w:t>群众当年冬季、次年春季的基本生活救</w:t>
      </w:r>
      <w:r>
        <w:rPr>
          <w:rFonts w:hint="eastAsia" w:ascii="仿宋_GB2312" w:hAnsi="仿宋_GB2312" w:eastAsia="仿宋_GB2312" w:cs="仿宋_GB2312"/>
          <w:sz w:val="32"/>
          <w:szCs w:val="32"/>
        </w:rPr>
        <w:t>助需求，核实救助对象，编制工作台账，制定救助工作方案，经区政府批准后组织实施，区应急管理局备案。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）区应急管理局应结合灾情评估情况，在每年要向市应急管理局、省应急管理厅提出当年受灾群众救助资金申请；资金到位后，区应急管理局应在10个工作日内提出资金分配方案，区财政局应在 5个工作日内下拨冬春救助资金，专项用于帮助解决受灾群众吃饭、穿衣等基本生活困难。</w:t>
      </w:r>
    </w:p>
    <w:p>
      <w:pPr>
        <w:spacing w:line="560" w:lineRule="exact"/>
        <w:ind w:firstLine="640" w:firstLineChars="200"/>
        <w:outlineLvl w:val="1"/>
        <w:rPr>
          <w:rFonts w:ascii="楷体" w:hAnsi="楷体" w:eastAsia="楷体" w:cs="楷体"/>
          <w:sz w:val="32"/>
          <w:szCs w:val="32"/>
        </w:rPr>
      </w:pPr>
      <w:bookmarkStart w:id="62" w:name="_Toc26553"/>
      <w:bookmarkStart w:id="63" w:name="_Toc17905"/>
      <w:r>
        <w:rPr>
          <w:rFonts w:hint="eastAsia" w:ascii="楷体" w:hAnsi="楷体" w:eastAsia="楷体" w:cs="楷体"/>
          <w:sz w:val="32"/>
          <w:szCs w:val="32"/>
          <w:lang w:val="en-US" w:eastAsia="zh-CN"/>
        </w:rPr>
        <w:t>7.3</w:t>
      </w:r>
      <w:r>
        <w:rPr>
          <w:rFonts w:hint="eastAsia" w:ascii="楷体" w:hAnsi="楷体" w:eastAsia="楷体" w:cs="楷体"/>
          <w:sz w:val="32"/>
          <w:szCs w:val="32"/>
        </w:rPr>
        <w:t>倒损住房恢复重建</w:t>
      </w:r>
      <w:bookmarkEnd w:id="62"/>
      <w:bookmarkEnd w:id="6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灾倒损住房恢复重建要尊重群众意愿，以受灾户自建为主，由区政府负责组织实施。建房资金在受灾群众自有资金的基础上通过政府救助、保险理赔、社会互助、邻里帮工帮料、以工代赈、自行借贷、政策优惠等多种途径解决。重建规划和房屋设计要根据灾情因地制宜确定方案，科学安排项目选址，合理布局，避开地震断裂带、地质灾害隐患点、泄洪通道等，提高抗灾设防能力，确保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区应急管理局根据对倒损住房核定情况，视情况组织评估小组，参考其他灾害管理部门评估数据，对因灾倒损住房情况进行综合评估。在相关保险承保公司进行理赔的基础上，区财政局协同区应急管理局向省应急管理厅、市财政局提出倒损房屋恢复重建补助资金申请。资金到位后，区应急管理局依据评估小组的倒损住房情况评估结果，按照倒损住房恢复重建资金补助标准，提出资金补助建议，区财政局按程序批准后尽快下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住房恢复重建工作结束后，区应急管理局应采取实地调查、抽样调查等方式，对本地倒损住房恢复重建补助资金管理工作开展绩效评估，并将评估结果上报区政府。区政府收到上报的绩效评估情况后，通过组成督查组开展实地抽查等方式，对全区倒损住房恢复重建补助资金管理工作进行绩效评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负责倒损住房恢复重建的规划、选址。</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负责倒损住房恢复重建的技术支持及质量监督工作。其他相关部门按照各自职责，制定优惠政策，支持做好住房重建工作。</w:t>
      </w:r>
    </w:p>
    <w:p>
      <w:pPr>
        <w:spacing w:line="560" w:lineRule="exact"/>
        <w:ind w:firstLine="640" w:firstLineChars="200"/>
        <w:rPr>
          <w:rFonts w:ascii="仿宋" w:hAnsi="仿宋" w:eastAsia="仿宋" w:cs="宋体"/>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）由区政府统一组织开展的恢复重建，按有关规定执行。</w:t>
      </w:r>
    </w:p>
    <w:p>
      <w:pPr>
        <w:pStyle w:val="3"/>
        <w:spacing w:line="560" w:lineRule="exact"/>
        <w:jc w:val="center"/>
        <w:rPr>
          <w:rFonts w:hint="eastAsia"/>
          <w:szCs w:val="32"/>
          <w:lang w:val="en-US"/>
        </w:rPr>
      </w:pPr>
      <w:bookmarkStart w:id="64" w:name="_Toc30427"/>
    </w:p>
    <w:p>
      <w:pPr>
        <w:pStyle w:val="3"/>
        <w:spacing w:line="560" w:lineRule="exact"/>
        <w:jc w:val="center"/>
      </w:pPr>
      <w:bookmarkStart w:id="65" w:name="_Toc408"/>
      <w:r>
        <w:rPr>
          <w:rFonts w:hint="eastAsia" w:ascii="黑体" w:hAnsi="黑体" w:eastAsia="黑体" w:cs="黑体"/>
          <w:szCs w:val="32"/>
          <w:lang w:val="en-US" w:eastAsia="zh-CN"/>
        </w:rPr>
        <w:t>8</w:t>
      </w:r>
      <w:r>
        <w:rPr>
          <w:rFonts w:hint="eastAsia"/>
          <w:szCs w:val="32"/>
        </w:rPr>
        <w:t>保障</w:t>
      </w:r>
      <w:r>
        <w:rPr>
          <w:rFonts w:hint="eastAsia"/>
          <w:szCs w:val="32"/>
          <w:lang w:val="en-US"/>
        </w:rPr>
        <w:t>措施</w:t>
      </w:r>
      <w:bookmarkEnd w:id="64"/>
      <w:bookmarkEnd w:id="65"/>
    </w:p>
    <w:p>
      <w:pPr>
        <w:spacing w:line="560" w:lineRule="exact"/>
        <w:ind w:firstLine="640" w:firstLineChars="200"/>
        <w:outlineLvl w:val="1"/>
        <w:rPr>
          <w:rFonts w:ascii="楷体" w:hAnsi="楷体" w:eastAsia="楷体" w:cs="楷体"/>
          <w:sz w:val="32"/>
          <w:szCs w:val="32"/>
        </w:rPr>
      </w:pPr>
      <w:bookmarkStart w:id="66" w:name="_Toc5222"/>
      <w:bookmarkStart w:id="67" w:name="_Toc30530"/>
      <w:r>
        <w:rPr>
          <w:rFonts w:hint="eastAsia" w:ascii="楷体" w:hAnsi="楷体" w:eastAsia="楷体" w:cs="楷体"/>
          <w:sz w:val="32"/>
          <w:szCs w:val="32"/>
          <w:lang w:val="en-US" w:eastAsia="zh-CN"/>
        </w:rPr>
        <w:t>8.1</w:t>
      </w:r>
      <w:r>
        <w:rPr>
          <w:rFonts w:hint="eastAsia" w:ascii="楷体" w:hAnsi="楷体" w:eastAsia="楷体" w:cs="楷体"/>
          <w:sz w:val="32"/>
          <w:szCs w:val="32"/>
        </w:rPr>
        <w:t>组织保障</w:t>
      </w:r>
      <w:bookmarkEnd w:id="66"/>
      <w:bookmarkEnd w:id="6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区减灾委要充分发挥作用，建立健全应急救助指挥平台，配备专业人员。</w:t>
      </w:r>
    </w:p>
    <w:p>
      <w:pPr>
        <w:spacing w:line="560" w:lineRule="exact"/>
        <w:ind w:firstLine="640" w:firstLineChars="200"/>
        <w:outlineLvl w:val="1"/>
        <w:rPr>
          <w:rFonts w:ascii="楷体" w:hAnsi="楷体" w:eastAsia="楷体" w:cs="楷体"/>
          <w:sz w:val="32"/>
          <w:szCs w:val="32"/>
        </w:rPr>
      </w:pPr>
      <w:bookmarkStart w:id="68" w:name="_Toc11583"/>
      <w:bookmarkStart w:id="69" w:name="_Toc21289"/>
      <w:r>
        <w:rPr>
          <w:rFonts w:hint="eastAsia" w:ascii="楷体" w:hAnsi="楷体" w:eastAsia="楷体" w:cs="楷体"/>
          <w:sz w:val="32"/>
          <w:szCs w:val="32"/>
          <w:lang w:val="en-US" w:eastAsia="zh-CN"/>
        </w:rPr>
        <w:t>8.2</w:t>
      </w:r>
      <w:r>
        <w:rPr>
          <w:rFonts w:hint="eastAsia" w:ascii="楷体" w:hAnsi="楷体" w:eastAsia="楷体" w:cs="楷体"/>
          <w:sz w:val="32"/>
          <w:szCs w:val="32"/>
        </w:rPr>
        <w:t>资金保障</w:t>
      </w:r>
      <w:bookmarkEnd w:id="68"/>
      <w:bookmarkEnd w:id="6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灾害救助工作分级负责、灾害救助资金分级负担、属地为主的原则，区政府应根据有关规定，除安排使用好上级下拨的救灾资金外，要根据本地历年灾害发生情况在本级财政预算中列支救灾资金，并在发生重大灾情时及时调整，同时安排必要的救灾工作经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区政府要将灾害救助工作纳入国民经济和社会发展规划，建立健全与灾害救助需求相适应的资金、物资保障机制，将灾害救助资金和灾害救助工作经费纳入本级财政预算。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救灾资金按照国库集中支付规定管理，保证快速拨付和及时兑现。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救灾预算资金不足时，区财政安排的预备费应重点用于受灾群众基本生活救助，确保受灾群众基本生活不发生问题。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区应急管理局、财政局要根据财力增长、物价变动、居民生活实际水平等因素，逐步提高灾害救助资金补助标准，建立灾害救助资金合理增长机制。</w:t>
      </w:r>
    </w:p>
    <w:p>
      <w:pPr>
        <w:spacing w:line="560" w:lineRule="exact"/>
        <w:ind w:firstLine="640" w:firstLineChars="200"/>
        <w:outlineLvl w:val="1"/>
        <w:rPr>
          <w:rFonts w:ascii="楷体" w:hAnsi="楷体" w:eastAsia="楷体" w:cs="楷体"/>
          <w:sz w:val="32"/>
          <w:szCs w:val="32"/>
        </w:rPr>
      </w:pPr>
      <w:bookmarkStart w:id="70" w:name="_Toc21451"/>
      <w:bookmarkStart w:id="71" w:name="_Toc10246"/>
      <w:r>
        <w:rPr>
          <w:rFonts w:hint="eastAsia" w:ascii="楷体" w:hAnsi="楷体" w:eastAsia="楷体" w:cs="楷体"/>
          <w:sz w:val="32"/>
          <w:szCs w:val="32"/>
          <w:lang w:val="en-US" w:eastAsia="zh-CN"/>
        </w:rPr>
        <w:t>8.3</w:t>
      </w:r>
      <w:r>
        <w:rPr>
          <w:rFonts w:hint="eastAsia" w:ascii="楷体" w:hAnsi="楷体" w:eastAsia="楷体" w:cs="楷体"/>
          <w:sz w:val="32"/>
          <w:szCs w:val="32"/>
        </w:rPr>
        <w:t>物资保障</w:t>
      </w:r>
      <w:bookmarkEnd w:id="70"/>
      <w:bookmarkEnd w:id="7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区政府应当根据</w:t>
      </w:r>
      <w:r>
        <w:rPr>
          <w:rFonts w:hint="eastAsia" w:ascii="仿宋_GB2312" w:hAnsi="仿宋_GB2312" w:eastAsia="仿宋_GB2312" w:cs="仿宋_GB2312"/>
          <w:sz w:val="32"/>
          <w:szCs w:val="32"/>
        </w:rPr>
        <w:t>灾害特点、居民人口数量和分布等情况，按照布局合理、规模适度的原则，设立救灾物资储备库，</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分级、分类管理储备救灾物资。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各级储备库应储备必需的救灾物资，主要包括救灾帐篷、衣被和其他生活类救助物资等。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应急管理局制定救灾物资储备规划，合理确定储备品种和规模。区粮食和物资储备部门建立健全救灾物资采购和储备制度，每年根据应对重大灾害的要求储备必要物资。按照实物储备和能力储备相结合的原则，建立救灾物资生产厂家名录，健全应急采购和供货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完善救灾物资发放全过程管理，建立健全救灾物资应急保障和征用补偿机制，建立健全救灾物资紧急调运和运输制度。</w:t>
      </w:r>
    </w:p>
    <w:p>
      <w:pPr>
        <w:spacing w:line="560" w:lineRule="exact"/>
        <w:ind w:firstLine="640" w:firstLineChars="200"/>
        <w:outlineLvl w:val="1"/>
        <w:rPr>
          <w:rFonts w:ascii="楷体" w:hAnsi="楷体" w:eastAsia="楷体" w:cs="楷体"/>
          <w:sz w:val="32"/>
          <w:szCs w:val="32"/>
        </w:rPr>
      </w:pPr>
      <w:bookmarkStart w:id="72" w:name="_Toc23179"/>
      <w:bookmarkStart w:id="73" w:name="_Toc20974"/>
      <w:r>
        <w:rPr>
          <w:rFonts w:hint="eastAsia" w:ascii="楷体" w:hAnsi="楷体" w:eastAsia="楷体" w:cs="楷体"/>
          <w:sz w:val="32"/>
          <w:szCs w:val="32"/>
          <w:lang w:val="en-US" w:eastAsia="zh-CN"/>
        </w:rPr>
        <w:t>8.4</w:t>
      </w:r>
      <w:r>
        <w:rPr>
          <w:rFonts w:hint="eastAsia" w:ascii="楷体" w:hAnsi="楷体" w:eastAsia="楷体" w:cs="楷体"/>
          <w:sz w:val="32"/>
          <w:szCs w:val="32"/>
        </w:rPr>
        <w:t>装备和设施保障</w:t>
      </w:r>
      <w:bookmarkEnd w:id="72"/>
      <w:bookmarkEnd w:id="73"/>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区政府要根据当地居民人口数量和分布等情况，利用公园、广场、绿地、体育场（馆）等公共设施，统筹规划设立应急避难场所，并设置明显标志。灾害多发易发地区可规划建设专用应急避难场所。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区减灾委有关</w:t>
      </w:r>
      <w:r>
        <w:rPr>
          <w:rFonts w:hint="eastAsia" w:ascii="仿宋_GB2312" w:hAnsi="仿宋_GB2312" w:eastAsia="仿宋_GB2312" w:cs="仿宋_GB2312"/>
          <w:sz w:val="32"/>
          <w:szCs w:val="32"/>
        </w:rPr>
        <w:t>单位应配备救灾管理工作必需的设备和装备。建立灾害救助应急指挥技术支撑系统，并为灾害救助工作提供必要的交通、通信等设备。</w:t>
      </w:r>
    </w:p>
    <w:p>
      <w:pPr>
        <w:spacing w:line="560" w:lineRule="exact"/>
        <w:ind w:firstLine="640" w:firstLineChars="200"/>
        <w:outlineLvl w:val="1"/>
        <w:rPr>
          <w:rFonts w:ascii="楷体" w:hAnsi="楷体" w:eastAsia="楷体" w:cs="楷体"/>
          <w:sz w:val="32"/>
          <w:szCs w:val="32"/>
        </w:rPr>
      </w:pPr>
      <w:bookmarkStart w:id="74" w:name="_Toc1775"/>
      <w:bookmarkStart w:id="75" w:name="_Toc6993"/>
      <w:r>
        <w:rPr>
          <w:rFonts w:hint="eastAsia" w:ascii="楷体" w:hAnsi="楷体" w:eastAsia="楷体" w:cs="楷体"/>
          <w:sz w:val="32"/>
          <w:szCs w:val="32"/>
          <w:lang w:val="en-US" w:eastAsia="zh-CN"/>
        </w:rPr>
        <w:t>8.5</w:t>
      </w:r>
      <w:r>
        <w:rPr>
          <w:rFonts w:hint="eastAsia" w:ascii="楷体" w:hAnsi="楷体" w:eastAsia="楷体" w:cs="楷体"/>
          <w:sz w:val="32"/>
          <w:szCs w:val="32"/>
        </w:rPr>
        <w:t>人力资源保障</w:t>
      </w:r>
      <w:bookmarkEnd w:id="74"/>
      <w:bookmarkEnd w:id="7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区政府要</w:t>
      </w:r>
      <w:r>
        <w:rPr>
          <w:rFonts w:hint="eastAsia" w:ascii="仿宋_GB2312" w:hAnsi="仿宋_GB2312" w:eastAsia="仿宋_GB2312" w:cs="仿宋_GB2312"/>
          <w:sz w:val="32"/>
          <w:szCs w:val="32"/>
        </w:rPr>
        <w:t>组织应急、生态环境、交通、水务、农业、住建、商务、卫健、园林、地震等部门和红十字会专家，重点开展灾情会商、赴灾区现场评估等灾害管理的业务咨询工作。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w:t>
      </w:r>
      <w:r>
        <w:rPr>
          <w:rFonts w:hint="eastAsia" w:ascii="仿宋_GB2312" w:hAnsi="仿宋_GB2312" w:eastAsia="仿宋_GB2312" w:cs="仿宋_GB2312"/>
          <w:sz w:val="32"/>
          <w:szCs w:val="32"/>
        </w:rPr>
        <w:t>各类灾害救援专业队伍、灾害管理人员队伍建设，提高灾害救助能力。支持、培育和发展相关社会力量，鼓励和引导其在救灾工作中有序发挥积极作用。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灾害信息员队伍建设，建立健全覆盖全区、镇、村三级的灾害信息员队伍。村（居）委会和企事业单位应当设立专职或者兼职的灾害信息员。区应急管理局应当分级负责每年对各级灾害应急救助人员、灾情信息管理人员和基层灾害信息员进行培训。</w:t>
      </w:r>
    </w:p>
    <w:p>
      <w:pPr>
        <w:spacing w:line="560" w:lineRule="exact"/>
        <w:ind w:firstLine="640" w:firstLineChars="200"/>
        <w:outlineLvl w:val="1"/>
        <w:rPr>
          <w:rFonts w:ascii="楷体" w:hAnsi="楷体" w:eastAsia="楷体" w:cs="楷体"/>
          <w:sz w:val="32"/>
          <w:szCs w:val="32"/>
        </w:rPr>
      </w:pPr>
      <w:bookmarkStart w:id="76" w:name="_Toc2867"/>
      <w:bookmarkStart w:id="77" w:name="_Toc19804"/>
      <w:r>
        <w:rPr>
          <w:rFonts w:hint="eastAsia" w:ascii="楷体" w:hAnsi="楷体" w:eastAsia="楷体" w:cs="楷体"/>
          <w:sz w:val="32"/>
          <w:szCs w:val="32"/>
          <w:lang w:val="en-US" w:eastAsia="zh-CN"/>
        </w:rPr>
        <w:t>8.6</w:t>
      </w:r>
      <w:r>
        <w:rPr>
          <w:rFonts w:hint="eastAsia" w:ascii="楷体" w:hAnsi="楷体" w:eastAsia="楷体" w:cs="楷体"/>
          <w:sz w:val="32"/>
          <w:szCs w:val="32"/>
        </w:rPr>
        <w:t>社会动员保障</w:t>
      </w:r>
      <w:bookmarkEnd w:id="76"/>
      <w:bookmarkEnd w:id="7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完善救灾捐赠管理相关政策，建立健全救灾捐赠动员、运行和监督管理机制，规范救灾捐赠的组织发动、款物接收、统计、分配、使用、公示反馈等各个环节的工作。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科学组织、有效引导，充分发挥社会力量在灾害救助中的作用。</w:t>
      </w:r>
    </w:p>
    <w:p>
      <w:pPr>
        <w:spacing w:line="560" w:lineRule="exact"/>
        <w:ind w:firstLine="640" w:firstLineChars="200"/>
        <w:outlineLvl w:val="1"/>
        <w:rPr>
          <w:rFonts w:ascii="楷体" w:hAnsi="楷体" w:eastAsia="楷体" w:cs="楷体"/>
          <w:sz w:val="32"/>
          <w:szCs w:val="32"/>
        </w:rPr>
      </w:pPr>
      <w:bookmarkStart w:id="78" w:name="_Toc16339"/>
      <w:bookmarkStart w:id="79" w:name="_Toc8766"/>
      <w:r>
        <w:rPr>
          <w:rFonts w:hint="eastAsia" w:ascii="楷体" w:hAnsi="楷体" w:eastAsia="楷体" w:cs="楷体"/>
          <w:sz w:val="32"/>
          <w:szCs w:val="32"/>
          <w:lang w:val="en-US" w:eastAsia="zh-CN"/>
        </w:rPr>
        <w:t>8.7</w:t>
      </w:r>
      <w:r>
        <w:rPr>
          <w:rFonts w:hint="eastAsia" w:ascii="楷体" w:hAnsi="楷体" w:eastAsia="楷体" w:cs="楷体"/>
          <w:sz w:val="32"/>
          <w:szCs w:val="32"/>
        </w:rPr>
        <w:t>科技保障</w:t>
      </w:r>
      <w:bookmarkEnd w:id="78"/>
      <w:bookmarkEnd w:id="7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区政府要组织应急、生态环境、交通、水务、农业、卫健、园林、地震、气象等方面专家开展灾害风险调查，编制全区灾害风险区划图，制定相关技术和管理标准。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支持和鼓励聘请高等院校、科研院所、企事业单位和社会力量开展灾害相关领域的科学研究和技术研发，建立合作机制， 鼓励减灾政策理论研究。</w:t>
      </w:r>
    </w:p>
    <w:p>
      <w:pPr>
        <w:spacing w:line="560" w:lineRule="exact"/>
        <w:ind w:firstLine="640" w:firstLineChars="200"/>
        <w:outlineLvl w:val="1"/>
        <w:rPr>
          <w:rFonts w:ascii="楷体" w:hAnsi="楷体" w:eastAsia="楷体" w:cs="楷体"/>
          <w:sz w:val="32"/>
          <w:szCs w:val="32"/>
        </w:rPr>
      </w:pPr>
      <w:bookmarkStart w:id="80" w:name="_Toc2179"/>
      <w:bookmarkStart w:id="81" w:name="_Toc23963"/>
      <w:r>
        <w:rPr>
          <w:rFonts w:hint="eastAsia" w:ascii="楷体" w:hAnsi="楷体" w:eastAsia="楷体" w:cs="楷体"/>
          <w:sz w:val="32"/>
          <w:szCs w:val="32"/>
          <w:lang w:val="en-US" w:eastAsia="zh-CN"/>
        </w:rPr>
        <w:t>8.8</w:t>
      </w:r>
      <w:r>
        <w:rPr>
          <w:rFonts w:hint="eastAsia" w:ascii="楷体" w:hAnsi="楷体" w:eastAsia="楷体" w:cs="楷体"/>
          <w:sz w:val="32"/>
          <w:szCs w:val="32"/>
        </w:rPr>
        <w:t>宣传和培训</w:t>
      </w:r>
      <w:bookmarkEnd w:id="80"/>
      <w:bookmarkEnd w:id="8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防灾减灾宣传活动，利用各种媒体宣传应急法律法规和灾害预防、避险、避灾、自救、互救、保险的常识，组织好“防灾减灾日”、“国际减灾日”、“世界急救日”、“全国科普日”、“全国消防日”等活动，加强减灾救灾科普宣传，提高公民科学防灾救灾意识和能力。积极推进社区减灾活动，推动综合减灾示范社区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组织开展对各级政府分管负责人、灾害救助管理人员和专业应急救灾队伍、社会力量的培训。</w:t>
      </w:r>
    </w:p>
    <w:p>
      <w:pPr>
        <w:pStyle w:val="3"/>
        <w:spacing w:line="560" w:lineRule="exact"/>
        <w:jc w:val="center"/>
        <w:rPr>
          <w:rFonts w:hint="eastAsia"/>
          <w:lang w:val="en-US"/>
        </w:rPr>
      </w:pPr>
      <w:bookmarkStart w:id="82" w:name="_Toc51186965"/>
      <w:bookmarkStart w:id="83" w:name="_Toc14999"/>
    </w:p>
    <w:p>
      <w:pPr>
        <w:pStyle w:val="3"/>
        <w:spacing w:line="560" w:lineRule="exact"/>
        <w:jc w:val="center"/>
      </w:pPr>
      <w:bookmarkStart w:id="84" w:name="_Toc20149"/>
      <w:r>
        <w:rPr>
          <w:rFonts w:hint="eastAsia" w:ascii="黑体" w:hAnsi="黑体" w:eastAsia="黑体" w:cs="黑体"/>
          <w:szCs w:val="32"/>
          <w:lang w:val="en-US" w:eastAsia="zh-CN"/>
        </w:rPr>
        <w:t>9</w:t>
      </w:r>
      <w:r>
        <w:rPr>
          <w:rFonts w:hint="eastAsia"/>
          <w:szCs w:val="32"/>
        </w:rPr>
        <w:t>预案管理</w:t>
      </w:r>
      <w:bookmarkEnd w:id="82"/>
      <w:bookmarkEnd w:id="84"/>
    </w:p>
    <w:p>
      <w:pPr>
        <w:spacing w:line="560" w:lineRule="exact"/>
        <w:ind w:firstLine="640" w:firstLineChars="200"/>
        <w:outlineLvl w:val="1"/>
        <w:rPr>
          <w:rFonts w:ascii="楷体" w:hAnsi="楷体" w:eastAsia="楷体" w:cs="楷体"/>
          <w:sz w:val="32"/>
          <w:szCs w:val="32"/>
        </w:rPr>
      </w:pPr>
      <w:bookmarkStart w:id="85" w:name="_Toc51186966"/>
      <w:bookmarkStart w:id="86" w:name="_Toc24462"/>
      <w:r>
        <w:rPr>
          <w:rFonts w:hint="eastAsia" w:ascii="楷体" w:hAnsi="楷体" w:eastAsia="楷体" w:cs="楷体"/>
          <w:sz w:val="32"/>
          <w:szCs w:val="32"/>
          <w:lang w:val="en-US" w:eastAsia="zh-CN"/>
        </w:rPr>
        <w:t>9.1</w:t>
      </w:r>
      <w:r>
        <w:rPr>
          <w:rFonts w:hint="eastAsia" w:ascii="楷体" w:hAnsi="楷体" w:eastAsia="楷体" w:cs="楷体"/>
          <w:sz w:val="32"/>
          <w:szCs w:val="32"/>
        </w:rPr>
        <w:t>预案演练</w:t>
      </w:r>
      <w:bookmarkEnd w:id="85"/>
      <w:bookmarkEnd w:id="86"/>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w:t>
      </w:r>
      <w:bookmarkStart w:id="87" w:name="_Hlk51161911"/>
      <w:r>
        <w:rPr>
          <w:rFonts w:hint="eastAsia" w:ascii="仿宋_GB2312" w:hAnsi="仿宋_GB2312" w:eastAsia="仿宋_GB2312" w:cs="仿宋_GB2312"/>
          <w:sz w:val="32"/>
          <w:szCs w:val="32"/>
        </w:rPr>
        <w:t>减灾委办公室</w:t>
      </w:r>
      <w:bookmarkEnd w:id="87"/>
      <w:r>
        <w:rPr>
          <w:rFonts w:hint="eastAsia" w:ascii="仿宋_GB2312" w:hAnsi="仿宋_GB2312" w:eastAsia="仿宋_GB2312" w:cs="仿宋_GB2312"/>
          <w:sz w:val="32"/>
          <w:szCs w:val="32"/>
        </w:rPr>
        <w:t>协同区减灾委成员单位及有关专业应急救援队制定应急演练计划并定期组织演练。</w:t>
      </w:r>
    </w:p>
    <w:p>
      <w:pPr>
        <w:spacing w:line="560" w:lineRule="exact"/>
        <w:ind w:firstLine="640" w:firstLineChars="200"/>
        <w:outlineLvl w:val="1"/>
        <w:rPr>
          <w:rFonts w:ascii="楷体" w:hAnsi="楷体" w:eastAsia="楷体" w:cs="楷体"/>
          <w:sz w:val="32"/>
          <w:szCs w:val="32"/>
        </w:rPr>
      </w:pPr>
      <w:bookmarkStart w:id="88" w:name="_Toc51186967"/>
      <w:bookmarkStart w:id="89" w:name="_Toc22377"/>
      <w:r>
        <w:rPr>
          <w:rFonts w:hint="eastAsia" w:ascii="楷体" w:hAnsi="楷体" w:eastAsia="楷体" w:cs="楷体"/>
          <w:sz w:val="32"/>
          <w:szCs w:val="32"/>
          <w:lang w:val="en-US" w:eastAsia="zh-CN"/>
        </w:rPr>
        <w:t>9.2</w:t>
      </w:r>
      <w:r>
        <w:rPr>
          <w:rFonts w:hint="eastAsia" w:ascii="楷体" w:hAnsi="楷体" w:eastAsia="楷体" w:cs="楷体"/>
          <w:sz w:val="32"/>
          <w:szCs w:val="32"/>
        </w:rPr>
        <w:t>预案的管理和更新</w:t>
      </w:r>
      <w:bookmarkEnd w:id="88"/>
      <w:bookmarkEnd w:id="8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本预案由区应急管理局负责组织修订并召集有关部门和专家进行评估形成意见报区政府批准后实施。有关部门和镇政府应当根据本预案修订本单位（部门）灾害救助应急预案并报区应急管理局备案。</w:t>
      </w:r>
    </w:p>
    <w:p>
      <w:pPr>
        <w:spacing w:line="560" w:lineRule="exact"/>
        <w:ind w:firstLine="640" w:firstLineChars="200"/>
        <w:rPr>
          <w:rFonts w:hint="eastAsia"/>
          <w:lang w:val="en-US"/>
        </w:rPr>
      </w:pPr>
      <w:r>
        <w:rPr>
          <w:rFonts w:hint="eastAsia" w:ascii="仿宋_GB2312" w:hAnsi="仿宋_GB2312" w:eastAsia="仿宋_GB2312" w:cs="仿宋_GB2312"/>
          <w:sz w:val="32"/>
          <w:szCs w:val="32"/>
        </w:rPr>
        <w:t>预案实施后，区减灾委办公室会同有关部门组织预案宣传、培训和演练，并根据实际情况的变化，适时组织评估和修订。</w:t>
      </w:r>
      <w:bookmarkStart w:id="90" w:name="_Toc51186968"/>
    </w:p>
    <w:p>
      <w:pPr>
        <w:pStyle w:val="3"/>
        <w:spacing w:line="560" w:lineRule="exact"/>
        <w:jc w:val="center"/>
        <w:rPr>
          <w:rFonts w:ascii="宋体" w:hAnsi="宋体" w:eastAsia="宋体" w:cs="宋体"/>
          <w:szCs w:val="32"/>
        </w:rPr>
      </w:pPr>
      <w:bookmarkStart w:id="91" w:name="_Toc12945"/>
      <w:r>
        <w:rPr>
          <w:rFonts w:hint="eastAsia" w:ascii="黑体" w:hAnsi="黑体" w:eastAsia="黑体" w:cs="黑体"/>
          <w:szCs w:val="32"/>
          <w:lang w:val="en-US" w:eastAsia="zh-CN"/>
        </w:rPr>
        <w:t>10</w:t>
      </w:r>
      <w:r>
        <w:rPr>
          <w:rFonts w:hint="eastAsia"/>
          <w:lang w:val="en-US"/>
        </w:rPr>
        <w:t>奖励与惩罚</w:t>
      </w:r>
      <w:bookmarkEnd w:id="90"/>
      <w:bookmarkEnd w:id="91"/>
    </w:p>
    <w:p>
      <w:pPr>
        <w:spacing w:line="560" w:lineRule="exact"/>
        <w:ind w:firstLine="640" w:firstLineChars="200"/>
        <w:rPr>
          <w:rFonts w:ascii="仿宋" w:hAnsi="仿宋" w:eastAsia="仿宋" w:cs="宋体"/>
          <w:sz w:val="32"/>
          <w:szCs w:val="32"/>
        </w:rPr>
      </w:pPr>
      <w:r>
        <w:rPr>
          <w:rFonts w:hint="eastAsia" w:ascii="仿宋_GB2312" w:hAnsi="仿宋_GB2312" w:eastAsia="仿宋_GB2312" w:cs="仿宋_GB2312"/>
          <w:sz w:val="32"/>
          <w:szCs w:val="32"/>
        </w:rPr>
        <w:t>对在灾害救助工作中做出突出贡献的先进集体和个人，按照有关规定给予表彰与奖励；对有迟报、谎报、瞒报和漏报灾害重要情况或应急管理工作中其他失职、渎职行为的有关责任人，依据有关法律法规追究责任。</w:t>
      </w:r>
    </w:p>
    <w:p>
      <w:pPr>
        <w:pStyle w:val="3"/>
        <w:spacing w:line="560" w:lineRule="exact"/>
        <w:jc w:val="center"/>
        <w:rPr>
          <w:rFonts w:hint="eastAsia"/>
          <w:lang w:val="en-US"/>
        </w:rPr>
      </w:pPr>
    </w:p>
    <w:p>
      <w:pPr>
        <w:pStyle w:val="3"/>
        <w:spacing w:line="560" w:lineRule="exact"/>
        <w:jc w:val="center"/>
        <w:rPr>
          <w:rFonts w:ascii="仿宋" w:hAnsi="仿宋" w:eastAsia="仿宋" w:cs="宋体"/>
          <w:szCs w:val="32"/>
        </w:rPr>
      </w:pPr>
      <w:bookmarkStart w:id="92" w:name="_Toc21278"/>
      <w:bookmarkStart w:id="93" w:name="_Toc14321"/>
      <w:r>
        <w:rPr>
          <w:rFonts w:hint="eastAsia" w:ascii="黑体" w:hAnsi="黑体" w:eastAsia="黑体" w:cs="黑体"/>
          <w:szCs w:val="32"/>
          <w:lang w:val="en-US" w:eastAsia="zh-CN"/>
        </w:rPr>
        <w:t>11</w:t>
      </w:r>
      <w:r>
        <w:rPr>
          <w:rFonts w:hint="eastAsia"/>
          <w:lang w:val="en-US"/>
        </w:rPr>
        <w:t>附则</w:t>
      </w:r>
      <w:bookmarkEnd w:id="83"/>
      <w:bookmarkEnd w:id="92"/>
      <w:bookmarkEnd w:id="93"/>
    </w:p>
    <w:p>
      <w:pPr>
        <w:pStyle w:val="2"/>
        <w:spacing w:before="0" w:after="0" w:line="560" w:lineRule="exact"/>
        <w:ind w:firstLine="640" w:firstLineChars="200"/>
        <w:rPr>
          <w:rFonts w:ascii="楷体" w:hAnsi="楷体" w:eastAsia="楷体"/>
          <w:b w:val="0"/>
          <w:bCs/>
        </w:rPr>
      </w:pPr>
      <w:bookmarkStart w:id="94" w:name="_Toc51186970"/>
      <w:bookmarkStart w:id="95" w:name="_Toc11478"/>
      <w:r>
        <w:rPr>
          <w:rFonts w:hint="eastAsia" w:ascii="楷体" w:hAnsi="楷体" w:eastAsia="楷体"/>
          <w:b w:val="0"/>
          <w:bCs/>
          <w:lang w:val="en-US" w:eastAsia="zh-CN"/>
        </w:rPr>
        <w:t>11.1</w:t>
      </w:r>
      <w:r>
        <w:rPr>
          <w:rFonts w:hint="eastAsia" w:ascii="楷体" w:hAnsi="楷体" w:eastAsia="楷体"/>
          <w:b w:val="0"/>
          <w:bCs/>
        </w:rPr>
        <w:t>预案解释</w:t>
      </w:r>
      <w:bookmarkEnd w:id="94"/>
      <w:bookmarkEnd w:id="9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本预案有关数量的表述中，“以上”包括本数，“以下”不包括本数。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本预案由区应急管理局负责解释。</w:t>
      </w:r>
    </w:p>
    <w:p>
      <w:pPr>
        <w:pStyle w:val="2"/>
        <w:spacing w:before="0" w:after="0" w:line="560" w:lineRule="exact"/>
        <w:ind w:firstLine="640" w:firstLineChars="200"/>
        <w:rPr>
          <w:rFonts w:ascii="楷体" w:hAnsi="楷体" w:eastAsia="楷体"/>
          <w:b w:val="0"/>
          <w:bCs/>
        </w:rPr>
      </w:pPr>
      <w:bookmarkStart w:id="96" w:name="_Toc14657"/>
      <w:bookmarkStart w:id="97" w:name="_Toc51186971"/>
      <w:r>
        <w:rPr>
          <w:rFonts w:hint="eastAsia" w:ascii="楷体" w:hAnsi="楷体" w:eastAsia="楷体"/>
          <w:b w:val="0"/>
          <w:bCs/>
          <w:lang w:val="en-US" w:eastAsia="zh-CN"/>
        </w:rPr>
        <w:t>11.2</w:t>
      </w:r>
      <w:r>
        <w:rPr>
          <w:rFonts w:hint="eastAsia" w:ascii="楷体" w:hAnsi="楷体" w:eastAsia="楷体"/>
          <w:b w:val="0"/>
          <w:bCs/>
        </w:rPr>
        <w:t>预案实施</w:t>
      </w:r>
      <w:bookmarkEnd w:id="96"/>
      <w:bookmarkEnd w:id="9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本预案自印发之日起实施。</w:t>
      </w:r>
    </w:p>
    <w:p>
      <w:pPr>
        <w:spacing w:line="500" w:lineRule="exact"/>
        <w:outlineLvl w:val="9"/>
        <w:rPr>
          <w:rStyle w:val="13"/>
        </w:rPr>
      </w:pPr>
      <w:bookmarkStart w:id="98" w:name="_Toc26400"/>
      <w:bookmarkStart w:id="99" w:name="_Toc13512"/>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spacing w:line="500" w:lineRule="exact"/>
        <w:outlineLvl w:val="9"/>
        <w:rPr>
          <w:rStyle w:val="13"/>
        </w:rPr>
      </w:pPr>
    </w:p>
    <w:p>
      <w:pPr>
        <w:pStyle w:val="2"/>
      </w:pPr>
    </w:p>
    <w:p>
      <w:pPr>
        <w:spacing w:line="500" w:lineRule="exact"/>
        <w:outlineLvl w:val="9"/>
        <w:rPr>
          <w:rStyle w:val="13"/>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方正小标宋简体" w:hAnsi="等线" w:eastAsia="方正小标宋简体" w:cs="宋体"/>
          <w:color w:val="000000"/>
          <w:kern w:val="0"/>
          <w:sz w:val="32"/>
          <w:szCs w:val="32"/>
        </w:rPr>
      </w:pPr>
      <w:bookmarkStart w:id="100" w:name="_Toc9273"/>
      <w:r>
        <w:rPr>
          <w:rStyle w:val="13"/>
          <w:rFonts w:hint="eastAsia"/>
        </w:rPr>
        <w:t>附件</w:t>
      </w:r>
      <w:r>
        <w:rPr>
          <w:rStyle w:val="13"/>
          <w:rFonts w:hint="eastAsia"/>
          <w:lang w:val="en-US"/>
        </w:rPr>
        <w:t>1</w:t>
      </w:r>
      <w:bookmarkEnd w:id="98"/>
      <w:bookmarkEnd w:id="99"/>
      <w:bookmarkStart w:id="101" w:name="_Toc12618"/>
      <w:r>
        <w:rPr>
          <w:rFonts w:hint="eastAsia" w:ascii="方正小标宋简体" w:hAnsi="等线" w:eastAsia="方正小标宋简体" w:cs="宋体"/>
          <w:color w:val="000000"/>
          <w:kern w:val="0"/>
          <w:sz w:val="32"/>
          <w:szCs w:val="32"/>
        </w:rPr>
        <w:t>启动Ⅳ级响应工作流程图</w:t>
      </w:r>
      <w:bookmarkEnd w:id="100"/>
      <w:bookmarkEnd w:id="101"/>
    </w:p>
    <w:p>
      <w:pPr>
        <w:spacing w:line="500" w:lineRule="exact"/>
        <w:jc w:val="center"/>
        <w:rPr>
          <w:rFonts w:ascii="微软雅黑" w:hAnsi="微软雅黑" w:eastAsia="微软雅黑"/>
          <w:b/>
          <w:sz w:val="28"/>
        </w:rPr>
      </w:pPr>
    </w:p>
    <w:p>
      <w:pPr>
        <w:tabs>
          <w:tab w:val="left" w:pos="6119"/>
        </w:tabs>
        <w:spacing w:line="500" w:lineRule="exact"/>
        <w:rPr>
          <w:rFonts w:ascii="微软雅黑" w:hAnsi="微软雅黑" w:eastAsia="微软雅黑"/>
          <w:b/>
          <w:color w:val="FF0000"/>
          <w:sz w:val="28"/>
        </w:rPr>
      </w:pPr>
      <w:r>
        <w:rPr>
          <w:sz w:val="28"/>
        </w:rPr>
        <mc:AlternateContent>
          <mc:Choice Requires="wps">
            <w:drawing>
              <wp:anchor distT="0" distB="0" distL="114300" distR="114300" simplePos="0" relativeHeight="251675648" behindDoc="0" locked="0" layoutInCell="1" allowOverlap="1">
                <wp:simplePos x="0" y="0"/>
                <wp:positionH relativeFrom="column">
                  <wp:posOffset>3437255</wp:posOffset>
                </wp:positionH>
                <wp:positionV relativeFrom="paragraph">
                  <wp:posOffset>6985</wp:posOffset>
                </wp:positionV>
                <wp:extent cx="2087880" cy="592455"/>
                <wp:effectExtent l="38100" t="4445" r="45720" b="12700"/>
                <wp:wrapNone/>
                <wp:docPr id="34" name="双大括号 34"/>
                <wp:cNvGraphicFramePr/>
                <a:graphic xmlns:a="http://schemas.openxmlformats.org/drawingml/2006/main">
                  <a:graphicData uri="http://schemas.microsoft.com/office/word/2010/wordprocessingShape">
                    <wps:wsp>
                      <wps:cNvSpPr/>
                      <wps:spPr>
                        <a:xfrm>
                          <a:off x="4804410" y="4177665"/>
                          <a:ext cx="2087880" cy="592455"/>
                        </a:xfrm>
                        <a:prstGeom prst="bracePair">
                          <a:avLst>
                            <a:gd name="adj" fmla="val 1041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keepNext w:val="0"/>
                              <w:keepLines w:val="0"/>
                              <w:pageBreakBefore w:val="0"/>
                              <w:widowControl w:val="0"/>
                              <w:tabs>
                                <w:tab w:val="left" w:pos="5954"/>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决定进入Ⅳ级响应状态</w:t>
                            </w:r>
                          </w:p>
                        </w:txbxContent>
                      </wps:txbx>
                      <wps:bodyPr/>
                    </wps:wsp>
                  </a:graphicData>
                </a:graphic>
              </wp:anchor>
            </w:drawing>
          </mc:Choice>
          <mc:Fallback>
            <w:pict>
              <v:shape id="_x0000_s1026" o:spid="_x0000_s1026" o:spt="186" type="#_x0000_t186" style="position:absolute;left:0pt;margin-left:270.65pt;margin-top:0.55pt;height:46.65pt;width:164.4pt;z-index:251675648;mso-width-relative:page;mso-height-relative:page;" filled="f" stroked="t" coordsize="21600,21600" o:gfxdata="UEsDBAoAAAAAAIdO4kAAAAAAAAAAAAAAAAAEAAAAZHJzL1BLAwQUAAAACACHTuJAZNbHc9cAAAAI&#10;AQAADwAAAGRycy9kb3ducmV2LnhtbE2PPU/DMBCGdyT+g3VIbNROG2ga4nRAqsTQAQoD4yW+fLSx&#10;HcVOW/49xwTbnd5Xzz1XbK92EGeaQu+dhmShQJCrveldq+HzY/eQgQgRncHBO9LwTQG25e1Ngbnx&#10;F/dO50NsBUNcyFFDF+OYSxnqjiyGhR/Jcdb4yWLkdWqlmfDCcDvIpVJP0mLv+EKHI710VJ8Os9Ww&#10;Wb/um7Bf7r5Ox7nZZEdcvVWo9f1dop5BRLrGvzL86rM6lOxU+dmZIAYNj2my4ioHCQjOs7XioWJ4&#10;moIsC/n/gfIHUEsDBBQAAAAIAIdO4kCcLg6YDgIAAP0DAAAOAAAAZHJzL2Uyb0RvYy54bWytU8uO&#10;0zAU3SPxD5b3NEknbUPVdBZUwwZBpYEPcB07MfJLtqdJvwGk+QkkNuz5ovIdXDthnptZkIVzbR+f&#10;e8/x9eZyUBIdmfPC6BoXsxwjpqlphG5r/OXz1ZsKIx+Ibog0mtX4xDy+3L5+tentms1NZ2TDHAIS&#10;7de9rXEXgl1nmacdU8TPjGUaNrlxigSYujZrHOmBXclsnufLrDeusc5Q5j2s7sZNPDG6lxAazgVl&#10;O0NvFNNhZHVMkgCSfCesx9tULeeMhk+cexaQrDEoDWmEJBAf4phtN2TdOmI7QacSyEtKeKJJEaEh&#10;6R3VjgSCbpx4RqUEdcYbHmbUqGwUkhwBFUX+xJvrjliWtIDV3t6Z7v8fLf143DskmhpflBhpouDG&#10;z7ffzz9+/vn263z7G8EyeNRbvwbotd27aeYhjIIH7lT8gxQ01Lis8rIswN0TxMVqtVwuRo/ZEBAF&#10;wDyvVlUFAAqIxdt5uUiA7J7JOh/eM6NQDGp8cISyPREu+UuOH3xIRjdTtaT5ihFXEq7tSCQq8rJY&#10;xpTAOIEh+scZT2pzJaRMFy816mu8vFjEegg0M4cmglBZMMTrFiMiW3glNIzZvZGiiacjj3ft4Z10&#10;CLJCJ6VvyvsIFlPviO9GXNoaHVEiwEOSQtW4enhaaig+Gj5aHKMwHIbJ94NpTukSEgS6IimdOji2&#10;3cN5Irp/td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NbHc9cAAAAIAQAADwAAAAAAAAABACAA&#10;AAAiAAAAZHJzL2Rvd25yZXYueG1sUEsBAhQAFAAAAAgAh07iQJwuDpgOAgAA/QMAAA4AAAAAAAAA&#10;AQAgAAAAJgEAAGRycy9lMm9Eb2MueG1sUEsFBgAAAAAGAAYAWQEAAKYFAAAAAA==&#10;" adj="2250">
                <v:fill on="f" focussize="0,0"/>
                <v:stroke weight="0.5pt" color="#000000 [3213]" miterlimit="8" joinstyle="miter"/>
                <v:imagedata o:title=""/>
                <o:lock v:ext="edit" aspectratio="f"/>
                <v:textbox>
                  <w:txbxContent>
                    <w:p>
                      <w:pPr>
                        <w:keepNext w:val="0"/>
                        <w:keepLines w:val="0"/>
                        <w:pageBreakBefore w:val="0"/>
                        <w:widowControl w:val="0"/>
                        <w:tabs>
                          <w:tab w:val="left" w:pos="5954"/>
                        </w:tabs>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决定进入Ⅳ级响应状态</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931545</wp:posOffset>
                </wp:positionH>
                <wp:positionV relativeFrom="paragraph">
                  <wp:posOffset>1905</wp:posOffset>
                </wp:positionV>
                <wp:extent cx="2421890" cy="571500"/>
                <wp:effectExtent l="6350" t="6350" r="10160" b="12700"/>
                <wp:wrapNone/>
                <wp:docPr id="14" name="圆角矩形 14"/>
                <wp:cNvGraphicFramePr/>
                <a:graphic xmlns:a="http://schemas.openxmlformats.org/drawingml/2006/main">
                  <a:graphicData uri="http://schemas.microsoft.com/office/word/2010/wordprocessingShape">
                    <wps:wsp>
                      <wps:cNvSpPr/>
                      <wps:spPr>
                        <a:xfrm>
                          <a:off x="1299210" y="2965450"/>
                          <a:ext cx="2421890" cy="571500"/>
                        </a:xfrm>
                        <a:prstGeom prst="roundRect">
                          <a:avLst>
                            <a:gd name="adj" fmla="val 2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区减灾委主任（区长）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3.35pt;margin-top:0.15pt;height:45pt;width:190.7pt;z-index:251659264;v-text-anchor:middle;mso-width-relative:page;mso-height-relative:page;" fillcolor="#FFFFFF [3212]" filled="t" stroked="t" coordsize="21600,21600" arcsize="0.2" o:gfxdata="UEsDBAoAAAAAAIdO4kAAAAAAAAAAAAAAAAAEAAAAZHJzL1BLAwQUAAAACACHTuJAJbGdqNUAAAAH&#10;AQAADwAAAGRycy9kb3ducmV2LnhtbE2OPU/DMBRFdyT+g/WQ2KjtlIYQ4nRAgoUB0QISmxObJKr9&#10;HNnu17/nMcF4da/OPc365B072JimgArkQgCz2Acz4aDgfft0UwFLWaPRLqBVcLYJ1u3lRaNrE474&#10;Zg+bPDCCYKq1gjHnueY89aP1Oi3CbJG67xC9zhTjwE3UR4J7xwshSu71hPQw6tk+jrbfbfZewdfL&#10;rvqUsUyh+OhW/etWnp+FU+r6SooHYNme8t8YfvVJHVpy6sIeTWKO8m15R1MFS2BUr4pKAusU3Isl&#10;8Lbh//3bH1BLAwQUAAAACACHTuJARMa9hqcCAABEBQAADgAAAGRycy9lMm9Eb2MueG1srVTNbhMx&#10;EL4j8Q6W73STVdI2UTdV1CgIqaIVBXF2vN7sIv9hOz/lAXgAzpWQuCAegsep4DH47N2maeHQAzk4&#10;MzvjzzPf/JycbpUka+F8Y3RB+wc9SoTmpmz0sqDv3s5fHFPiA9Mlk0aLgl4LT08nz5+dbOxY5KY2&#10;shSOAET78cYWtA7BjrPM81oo5g+MFRrGyjjFAlS3zErHNkBXMst7vcNsY1xpneHCe3ydtUbaIbqn&#10;AJqqariYGb5SQocW1QnJAlLydWM9naRoq0rwcFFVXgQiC4pMQzrxCORFPLPJCRsvHbN1w7sQ2FNC&#10;eJSTYo3GozuoGQuMrFzzF5RquDPeVOGAG5W1iSRGkEW/94ibq5pZkXIB1d7uSPf/D5a/Xl860pTo&#10;hAElmilU/Pbm8+/vX359/XH78xvBZ3C0sX4M1yt76TrNQ4wJbyun4j9SIVug5KNR3ge71wXNR4fD&#10;wbDjWGwD4XDIB3n/eAQHDo/hUX/YSw7ZPZJ1PrwURpEoFNSZlS7foJCJX7Y+9yERXXbRsvIDJZWS&#10;KNuaSYIW2yF2zsC+w4w3vZFNOW+kTIpbLs6kI7ha0Hn6xXxx5YGb1GQTkzsCNuEMbV+h3SAqC+q8&#10;XlLC5BLzxINLcT647fcfifHtInzgFoOcMV+3wSRT25+qCRg52aiCHu/flhqRxtK0xYhS2C62XYUW&#10;prxGbZ1pm95bPm/wwjnz4ZI50IVUsAfCBY5KGuRnOomS2rhP//oe/dF8sFKywdQg948r5gQl8pVG&#10;W476gwFgQ1IGw6Mcitu3LPYteqXODHjvY+NYnsToH+SdWDmj3mNdTOOrMDHN8XbLcqechXaasXC4&#10;mE6TG0bLsnCuryyP4LHO2kxXwVRNiMWNRLXsdAqGK9W8WwRxevf15HW//C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CWxnajVAAAABwEAAA8AAAAAAAAAAQAgAAAAIgAAAGRycy9kb3ducmV2Lnht&#10;bFBLAQIUABQAAAAIAIdO4kBExr2GpwIAAEQFAAAOAAAAAAAAAAEAIAAAACQBAABkcnMvZTJvRG9j&#10;LnhtbFBLBQYAAAAABgAGAFkBAAA9BgAAAAA=&#10;">
                <v:fill on="t" focussize="0,0"/>
                <v:stroke weight="1pt" color="#000000 [3213]" miterlimit="8" joinstyle="miter"/>
                <v:imagedata o:title=""/>
                <o:lock v:ext="edit" aspectratio="f"/>
                <v:textbox>
                  <w:txbxContent>
                    <w:p>
                      <w:pPr>
                        <w:jc w:val="cente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区减灾委主任（区长）</w:t>
                      </w:r>
                    </w:p>
                  </w:txbxContent>
                </v:textbox>
              </v:roundrect>
            </w:pict>
          </mc:Fallback>
        </mc:AlternateContent>
      </w:r>
      <w:r>
        <w:rPr>
          <w:rFonts w:hint="eastAsia" w:ascii="微软雅黑" w:hAnsi="微软雅黑" w:eastAsia="微软雅黑"/>
          <w:b/>
          <w:sz w:val="28"/>
          <w:lang w:eastAsia="zh-CN"/>
        </w:rPr>
        <w:tab/>
      </w:r>
    </w:p>
    <w:p>
      <w:pPr>
        <w:spacing w:line="500" w:lineRule="exact"/>
        <w:rPr>
          <w:rFonts w:ascii="微软雅黑" w:hAnsi="微软雅黑" w:eastAsia="微软雅黑"/>
          <w:b/>
          <w:sz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2142490</wp:posOffset>
                </wp:positionH>
                <wp:positionV relativeFrom="paragraph">
                  <wp:posOffset>255905</wp:posOffset>
                </wp:positionV>
                <wp:extent cx="0" cy="476250"/>
                <wp:effectExtent l="48895" t="0" r="65405" b="0"/>
                <wp:wrapNone/>
                <wp:docPr id="15" name="直接箭头连接符 15"/>
                <wp:cNvGraphicFramePr/>
                <a:graphic xmlns:a="http://schemas.openxmlformats.org/drawingml/2006/main">
                  <a:graphicData uri="http://schemas.microsoft.com/office/word/2010/wordprocessingShape">
                    <wps:wsp>
                      <wps:cNvCnPr>
                        <a:endCxn id="14" idx="2"/>
                      </wps:cNvCnPr>
                      <wps:spPr>
                        <a:xfrm flipV="1">
                          <a:off x="2623185" y="3460750"/>
                          <a:ext cx="0"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8.7pt;margin-top:20.15pt;height:37.5pt;width:0pt;z-index:251660288;mso-width-relative:page;mso-height-relative:page;" filled="f" stroked="t" coordsize="21600,21600" o:gfxdata="UEsDBAoAAAAAAIdO4kAAAAAAAAAAAAAAAAAEAAAAZHJzL1BLAwQUAAAACACHTuJAcjCaf9cAAAAK&#10;AQAADwAAAGRycy9kb3ducmV2LnhtbE2Py07DMBBF90j8gzVI7KgdUqAKcSpBmxUsSsqiy0k8JBF+&#10;RLb7oF+PEQtYzszRnXPL5clodiAfRmclZDMBjGzn1Gh7Ce/b+mYBLES0CrWzJOGLAiyry4sSC+WO&#10;9o0OTexZCrGhQAlDjFPBeegGMhhmbiKbbh/OG4xp9D1XHo8p3Gh+K8Q9Nzja9GHAiZ4H6j6bvZEw&#10;7V7X55enGmN91qv1hvx21bRSXl9l4hFYpFP8g+FHP6lDlZxat7cqMC0hzx/mCZUwFzmwBPwu2kRm&#10;dznwquT/K1TfUEsDBBQAAAAIAIdO4kC9OhPnJwIAAB0EAAAOAAAAZHJzL2Uyb0RvYy54bWytU72O&#10;00AQ7pF4h9X2xPm7XGTFuSLhaBBE4qefrNf2Svun2b04eQleAIkKqIDqep4Gjsdg1g6542iuwIU9&#10;65n5ZuabbxcXe6PZTmJQzhZ8NBhyJq1wpbJ1wd+8vnwy5yxEsCVoZ2XBDzLwi+XjR4vW53LsGqdL&#10;iYxAbMhbX/AmRp9nWRCNNBAGzktLzsqhgUhHrLMSoSV0o7PxcDjLWoelRydkCPR33Tv5EREfAuiq&#10;Sgm5duLKSBt7VJQaIo0UGuUDX3bdVpUU8WVVBRmZLjhNGrs3FSF7m97ZcgF5jeAbJY4twENauDeT&#10;AWWp6AlqDRHYFap/oIwS6IKr4kA4k/WDdIzQFKPhPW5eNeBlNwtRHfyJ9PD/YMWL3QaZKkkJZ5xZ&#10;MLTxm/fXP999uvn29cfH61/fPyT7y2dGfiKr9SGnnJXdYBpX2nK1t33+lNN3X/Bxisv+CkyH4PuU&#10;fYWGVVr5t1Sz44xYYClvNp6M5tTFoeCT6Wx4fnZcj9xHJiiAdibINz2fjXtXBnlCS414DPGZdIYl&#10;o+AhIqi6iStnLWnAYV8Jds9DTN3dJqRk6y6V1p0UtGVtwWcTKsAEkLwrkhWZxhNFwdacga7p3oiI&#10;Xe/BaVWm7IQTsN6uNLIdJLV1T8cFee6GpRbXEJo+rnP1OjQq0tXSyhR8fsqGPILST23J4sHTdgDR&#10;tUdYbY9M9+QmmreuPGzwzwZINd20R4UnWd49d9m3t3r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Iwmn/XAAAACgEAAA8AAAAAAAAAAQAgAAAAIgAAAGRycy9kb3ducmV2LnhtbFBLAQIUABQAAAAI&#10;AIdO4kC9OhPnJwIAAB0EAAAOAAAAAAAAAAEAIAAAACYBAABkcnMvZTJvRG9jLnhtbFBLBQYAAAAA&#10;BgAGAFkBAAC/BQAAAAA=&#10;">
                <v:fill on="f" focussize="0,0"/>
                <v:stroke weight="0.5pt" color="#000000 [3213]" miterlimit="8" joinstyle="miter" endarrow="open"/>
                <v:imagedata o:title=""/>
                <o:lock v:ext="edit" aspectratio="f"/>
              </v:shape>
            </w:pict>
          </mc:Fallback>
        </mc:AlternateContent>
      </w:r>
    </w:p>
    <w:p>
      <w:pPr>
        <w:spacing w:line="500" w:lineRule="exact"/>
        <w:rPr>
          <w:rFonts w:ascii="微软雅黑" w:hAnsi="微软雅黑" w:eastAsia="微软雅黑"/>
          <w:b/>
          <w:sz w:val="28"/>
        </w:rPr>
      </w:pPr>
    </w:p>
    <w:p>
      <w:pPr>
        <w:tabs>
          <w:tab w:val="left" w:pos="5954"/>
        </w:tabs>
        <w:spacing w:line="500" w:lineRule="exact"/>
        <w:rPr>
          <w:rFonts w:hint="eastAsia" w:ascii="微软雅黑" w:hAnsi="微软雅黑" w:eastAsia="微软雅黑"/>
          <w:b/>
          <w:sz w:val="28"/>
          <w:lang w:eastAsia="zh-CN"/>
        </w:rPr>
      </w:pPr>
      <w:r>
        <w:rPr>
          <w:sz w:val="28"/>
        </w:rPr>
        <mc:AlternateContent>
          <mc:Choice Requires="wps">
            <w:drawing>
              <wp:anchor distT="0" distB="0" distL="114300" distR="114300" simplePos="0" relativeHeight="251677696" behindDoc="0" locked="0" layoutInCell="1" allowOverlap="1">
                <wp:simplePos x="0" y="0"/>
                <wp:positionH relativeFrom="column">
                  <wp:posOffset>3465830</wp:posOffset>
                </wp:positionH>
                <wp:positionV relativeFrom="paragraph">
                  <wp:posOffset>226695</wp:posOffset>
                </wp:positionV>
                <wp:extent cx="2126615" cy="677545"/>
                <wp:effectExtent l="38100" t="4445" r="45085" b="22860"/>
                <wp:wrapNone/>
                <wp:docPr id="8" name="双大括号 8"/>
                <wp:cNvGraphicFramePr/>
                <a:graphic xmlns:a="http://schemas.openxmlformats.org/drawingml/2006/main">
                  <a:graphicData uri="http://schemas.microsoft.com/office/word/2010/wordprocessingShape">
                    <wps:wsp>
                      <wps:cNvSpPr/>
                      <wps:spPr>
                        <a:xfrm>
                          <a:off x="0" y="0"/>
                          <a:ext cx="2126615" cy="677545"/>
                        </a:xfrm>
                        <a:prstGeom prst="bracePair">
                          <a:avLst>
                            <a:gd name="adj" fmla="val 1041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jc w:val="center"/>
                            </w:pPr>
                            <w:r>
                              <w:rPr>
                                <w:rFonts w:hint="eastAsia" w:ascii="宋体" w:hAnsi="宋体" w:eastAsia="宋体" w:cs="宋体"/>
                                <w:b w:val="0"/>
                                <w:bCs/>
                                <w:sz w:val="24"/>
                                <w:szCs w:val="24"/>
                                <w:lang w:eastAsia="zh-CN"/>
                              </w:rPr>
                              <w:t>报告区减灾委主任</w:t>
                            </w:r>
                          </w:p>
                          <w:p>
                            <w:pPr>
                              <w:tabs>
                                <w:tab w:val="left" w:pos="6629"/>
                              </w:tabs>
                              <w:spacing w:line="340" w:lineRule="exact"/>
                              <w:jc w:val="center"/>
                              <w:rPr>
                                <w:b/>
                                <w:bCs/>
                                <w:sz w:val="28"/>
                                <w:szCs w:val="28"/>
                              </w:rPr>
                            </w:pPr>
                            <w:r>
                              <w:rPr>
                                <w:rFonts w:hint="eastAsia" w:ascii="宋体" w:hAnsi="宋体" w:eastAsia="宋体" w:cs="宋体"/>
                                <w:b w:val="0"/>
                                <w:bCs w:val="0"/>
                                <w:sz w:val="24"/>
                                <w:szCs w:val="24"/>
                                <w:lang w:eastAsia="zh-CN"/>
                              </w:rPr>
                              <w:t>提出响应建议</w:t>
                            </w:r>
                          </w:p>
                          <w:p>
                            <w:pPr>
                              <w:jc w:val="center"/>
                            </w:pPr>
                          </w:p>
                        </w:txbxContent>
                      </wps:txbx>
                      <wps:bodyPr/>
                    </wps:wsp>
                  </a:graphicData>
                </a:graphic>
              </wp:anchor>
            </w:drawing>
          </mc:Choice>
          <mc:Fallback>
            <w:pict>
              <v:shape id="_x0000_s1026" o:spid="_x0000_s1026" o:spt="186" type="#_x0000_t186" style="position:absolute;left:0pt;margin-left:272.9pt;margin-top:17.85pt;height:53.35pt;width:167.45pt;z-index:251677696;mso-width-relative:page;mso-height-relative:page;" filled="f" stroked="t" coordsize="21600,21600" o:gfxdata="UEsDBAoAAAAAAIdO4kAAAAAAAAAAAAAAAAAEAAAAZHJzL1BLAwQUAAAACACHTuJA0/c11doAAAAK&#10;AQAADwAAAGRycy9kb3ducmV2LnhtbE2PPU/DMBCGdyT+g3VIbNRpmtA0xOmAVImhAxQGxkvsfLTx&#10;OYqdtvx7jolud7pH7z1vsb3aQZzN5HtHCpaLCISh2umeWgVfn7unDIQPSBoHR0bBj/GwLe/vCsy1&#10;u9CHOR9CKziEfI4KuhDGXEpfd8aiX7jREN8aN1kMvE6t1BNeONwOMo6iZ2mxJ/7Q4WheO1OfDrNV&#10;sFm/7Ru/j3ffp+PcbLIjrt4rVOrxYRm9gAjmGv5h+NNndSjZqXIzaS8GBWmSsnpQsErXIBjIsoiH&#10;iskkTkCWhbytUP4CUEsDBBQAAAAIAIdO4kAhSxCFAgIAAO8DAAAOAAAAZHJzL2Uyb0RvYy54bWyt&#10;U82O0zAQviPxDpbvNE3ZdldR0z1QLRcElRYeYOrYiZH/ZHub9BlA2pdA4sKdJyrPwdgJ3WW57IEc&#10;nLE9881834zX14NW5MB9kNbUtJzNKeGG2UaatqafPt68uqIkRDANKGt4TY880OvNyxfr3lV8YTur&#10;Gu4JgphQ9a6mXYyuKorAOq4hzKzjBi+F9Roibn1bNB56RNeqWMznq6K3vnHeMh4Cnm7HSzoh+ucA&#10;WiEk41vL7jQ3cUT1XEFESqGTLtBNrlYIzuIHIQKPRNUUmca8YhK092ktNmuoWg+uk2wqAZ5TwhNO&#10;GqTBpGeoLUQgd17+A6Ul8zZYEWfM6mIkkhVBFuX8iTa3HTieuaDUwZ1FD/8Plr0/7DyRTU2x7QY0&#10;Nvx0//X07fuvLz9O9z/JVVKod6FCx1u389MuoJnoDsLr9EciZMiqHs+q8iEShoeLcrFalUtKGN6t&#10;Li+XF8sEWjxEOx/iW241SUZN9x4Y34H0WVE4vAsxS9tMBULzmRKhFTbqAIqU84tyNSFOzoj9BzNF&#10;GnsjlcqtVob0WMXrJQ4AAxxfgWODpnYoQTAtJaBafBcsjtmDVbJJ0Qkn+Hb/RnmCWZFl/qa8f7ml&#10;1FsI3eiXr5IbVFpGfDpKalT7cbQyKEcSeZQ1WXHYD5PWe9scs/DZBecgazfNbBq0x/sM9PBO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c11doAAAAKAQAADwAAAAAAAAABACAAAAAiAAAAZHJz&#10;L2Rvd25yZXYueG1sUEsBAhQAFAAAAAgAh07iQCFLEIUCAgAA7wMAAA4AAAAAAAAAAQAgAAAAKQEA&#10;AGRycy9lMm9Eb2MueG1sUEsFBgAAAAAGAAYAWQEAAJ0FAAAAAA==&#10;" adj="2250">
                <v:fill on="f" focussize="0,0"/>
                <v:stroke weight="0.5pt" color="#000000 [3213]" miterlimit="8" joinstyle="miter"/>
                <v:imagedata o:title=""/>
                <o:lock v:ext="edit" aspectratio="f"/>
                <v:textbox>
                  <w:txbxContent>
                    <w:p>
                      <w:pPr>
                        <w:jc w:val="center"/>
                      </w:pPr>
                      <w:r>
                        <w:rPr>
                          <w:rFonts w:hint="eastAsia" w:ascii="宋体" w:hAnsi="宋体" w:eastAsia="宋体" w:cs="宋体"/>
                          <w:b w:val="0"/>
                          <w:bCs/>
                          <w:sz w:val="24"/>
                          <w:szCs w:val="24"/>
                          <w:lang w:eastAsia="zh-CN"/>
                        </w:rPr>
                        <w:t>报告区减灾委主任</w:t>
                      </w:r>
                    </w:p>
                    <w:p>
                      <w:pPr>
                        <w:tabs>
                          <w:tab w:val="left" w:pos="6629"/>
                        </w:tabs>
                        <w:spacing w:line="340" w:lineRule="exact"/>
                        <w:jc w:val="center"/>
                        <w:rPr>
                          <w:b/>
                          <w:bCs/>
                          <w:sz w:val="28"/>
                          <w:szCs w:val="28"/>
                        </w:rPr>
                      </w:pPr>
                      <w:r>
                        <w:rPr>
                          <w:rFonts w:hint="eastAsia" w:ascii="宋体" w:hAnsi="宋体" w:eastAsia="宋体" w:cs="宋体"/>
                          <w:b w:val="0"/>
                          <w:bCs w:val="0"/>
                          <w:sz w:val="24"/>
                          <w:szCs w:val="24"/>
                          <w:lang w:eastAsia="zh-CN"/>
                        </w:rPr>
                        <w:t>提出响应建议</w:t>
                      </w:r>
                    </w:p>
                    <w:p>
                      <w:pPr>
                        <w:jc w:val="center"/>
                      </w:pP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894715</wp:posOffset>
                </wp:positionH>
                <wp:positionV relativeFrom="paragraph">
                  <wp:posOffset>109855</wp:posOffset>
                </wp:positionV>
                <wp:extent cx="2448560" cy="876300"/>
                <wp:effectExtent l="6350" t="6350" r="21590" b="12700"/>
                <wp:wrapNone/>
                <wp:docPr id="16" name="圆角矩形 16"/>
                <wp:cNvGraphicFramePr/>
                <a:graphic xmlns:a="http://schemas.openxmlformats.org/drawingml/2006/main">
                  <a:graphicData uri="http://schemas.microsoft.com/office/word/2010/wordprocessingShape">
                    <wps:wsp>
                      <wps:cNvSpPr/>
                      <wps:spPr>
                        <a:xfrm>
                          <a:off x="1356360" y="3813175"/>
                          <a:ext cx="2448560" cy="876300"/>
                        </a:xfrm>
                        <a:prstGeom prst="roundRect">
                          <a:avLst>
                            <a:gd name="adj" fmla="val 1557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区减灾委办公室主任</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（区应急管理局局长）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0.45pt;margin-top:8.65pt;height:69pt;width:192.8pt;z-index:251661312;v-text-anchor:middle;mso-width-relative:page;mso-height-relative:page;" fillcolor="#FFFFFF [3212]" filled="t" stroked="t" coordsize="21600,21600" arcsize="0.155787037037037" o:gfxdata="UEsDBAoAAAAAAIdO4kAAAAAAAAAAAAAAAAAEAAAAZHJzL1BLAwQUAAAACACHTuJAt67PmtcAAAAK&#10;AQAADwAAAGRycy9kb3ducmV2LnhtbE2Pz27CMAzG75P2DpEncRsJf8qga8oBCYntRtkDhMa0FY3T&#10;NaGUt5932m7+7M+ff862o2vFgH1oPGmYTRUIpNLbhioNX6f96xpEiIasaT2hhgcG2ObPT5lJrb/T&#10;EYciVoJDKKRGQx1jl0oZyhqdCVPfIfHs4ntnIsu+krY3dw53rZwrtZLONMQXatPhrsbyWtwcY+zG&#10;9cfmM4zXo/wuCj8sm3A5aD15mal3EBHH+GeGX3zegZyZzv5GNoiW9VJt2MrF2wIEG5L5KgFx5kaS&#10;LEDmmfz/Qv4DUEsDBBQAAAAIAIdO4kAqWILcqAIAAEQFAAAOAAAAZHJzL2Uyb0RvYy54bWytVM1u&#10;EzEQviPxDpbvdPOfNOqmihoFIVW0oiDOjtebXeQ/bKdJeQAegDMSEhfEQ/A4FTwGn73bNi099MAe&#10;vDP2+JuZb2Z8dLxTklwK52ujc9o96FAiNDdFrdc5ffd2+WJCiQ9MF0waLXJ6JTw9nj1/drS1U9Ez&#10;lZGFcAQg2k+3NqdVCHaaZZ5XQjF/YKzQOCyNUyxAdeuscGwLdCWzXqczyrbGFdYZLrzH7qI5pC2i&#10;ewqgKcuai4XhGyV0aFCdkCwgJV/V1tNZirYsBQ9nZelFIDKnyDSkFU4gr+KazY7YdO2YrWrehsCe&#10;EsKDnBSrNZzeQi1YYGTj6n+gVM2d8aYMB9yorEkkMYIsup0H3FxUzIqUC6j29pZ0//9g+evLc0fq&#10;Ap0wokQzhYpff/3858eX399+Xv/6TrANjrbWT2F6Yc9dq3mIMeFd6VT8IxWyA0p/OOqPwO5VTvuT&#10;br87HjYci10gHAa9wWAyjAYcFpPxqN9JRcjukKzz4aUwikQhp85sdPEGhUz8sstTHxLRRRstKz5Q&#10;UiqJsl0ySbrD4fgwugRiawzpBjPe9EbWxbKWMiluvTqRjuBqTpfpay/fM5OabJFcb4xoCWdo+xLt&#10;BlFZUOf1mhIm15gnHlyK895tv++kk77HnMQgF8xXTTAJoeFO1QEjJ2sFxvZvS400Y2maYkQp7Fa7&#10;tkIrU1yhts40Te8tX9bwcMp8OGcOdCEVvAPhDEspDfIzrURJZdynx/ajPZoPp5RsMTXI/eOGOUGJ&#10;fKXRlofdwQCwISmD4bgHxe2frPZP9EadGPDexYtjeRKjfZA3YumMeo/nYh694ohpDt8Ny61yEppp&#10;xoPDxXyezDBaloVTfWF5BI911ma+CaasQ+yMSFTDTqtguFLDtA9BnN59PVndPX6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Leuz5rXAAAACgEAAA8AAAAAAAAAAQAgAAAAIgAAAGRycy9kb3ducmV2&#10;LnhtbFBLAQIUABQAAAAIAIdO4kAqWILcqAIAAEQFAAAOAAAAAAAAAAEAIAAAACYBAABkcnMvZTJv&#10;RG9jLnhtbFBLBQYAAAAABgAGAFkBAABABg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区减灾委办公室主任</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（区应急管理局局长）</w:t>
                      </w:r>
                    </w:p>
                  </w:txbxContent>
                </v:textbox>
              </v:roundrect>
            </w:pict>
          </mc:Fallback>
        </mc:AlternateContent>
      </w:r>
      <w:r>
        <w:rPr>
          <w:rFonts w:hint="eastAsia" w:ascii="微软雅黑" w:hAnsi="微软雅黑" w:eastAsia="微软雅黑"/>
          <w:b/>
          <w:sz w:val="28"/>
          <w:lang w:eastAsia="zh-CN"/>
        </w:rPr>
        <w:tab/>
      </w:r>
    </w:p>
    <w:p>
      <w:pPr>
        <w:tabs>
          <w:tab w:val="left" w:pos="5339"/>
          <w:tab w:val="left" w:pos="6059"/>
        </w:tabs>
        <w:spacing w:line="500" w:lineRule="exact"/>
        <w:rPr>
          <w:rFonts w:hint="eastAsia" w:ascii="宋体" w:hAnsi="宋体" w:eastAsia="宋体" w:cs="宋体"/>
          <w:b w:val="0"/>
          <w:bCs w:val="0"/>
          <w:sz w:val="24"/>
          <w:szCs w:val="24"/>
          <w:lang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389890</wp:posOffset>
                </wp:positionH>
                <wp:positionV relativeFrom="paragraph">
                  <wp:posOffset>219075</wp:posOffset>
                </wp:positionV>
                <wp:extent cx="0" cy="342900"/>
                <wp:effectExtent l="48895" t="0" r="65405" b="0"/>
                <wp:wrapNone/>
                <wp:docPr id="21" name="直接箭头连接符 21"/>
                <wp:cNvGraphicFramePr/>
                <a:graphic xmlns:a="http://schemas.openxmlformats.org/drawingml/2006/main">
                  <a:graphicData uri="http://schemas.microsoft.com/office/word/2010/wordprocessingShape">
                    <wps:wsp>
                      <wps:cNvCnPr/>
                      <wps:spPr>
                        <a:xfrm>
                          <a:off x="1289685" y="419227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7pt;margin-top:17.25pt;height:27pt;width:0pt;z-index:251663360;mso-width-relative:page;mso-height-relative:page;" filled="f" stroked="t" coordsize="21600,21600" o:gfxdata="UEsDBAoAAAAAAIdO4kAAAAAAAAAAAAAAAAAEAAAAZHJzL1BLAwQUAAAACACHTuJAJVo60tUAAAAH&#10;AQAADwAAAGRycy9kb3ducmV2LnhtbE2Oy07DMBBF90j8gzVIbBB1AmkUQiYVDyEKOwof4MbTJI09&#10;jmL39fcYNrC8ulfnnmpxtEbsafK9Y4R0loAgbpzuuUX4+ny5LkD4oFgr45gQTuRhUZ+fVarU7sAf&#10;tF+FVkQI+1IhdCGMpZS+6cgqP3Mjcew2brIqxDi1Uk/qEOHWyJskyaVVPceHTo301FEzrHYWYbN9&#10;yx+zZvv+6k/2ann3MLhnMyBeXqTJPYhAx/A3hh/9qA51dFq7HWsvDEKeZnGJcJvNQcT+N68RimIO&#10;sq7kf//6G1BLAwQUAAAACACHTuJAwR3CMRMCAADrAwAADgAAAGRycy9lMm9Eb2MueG1srVPNctMw&#10;EL4zwztodCdO3DYknjg9JJQLA5mBPoAiy7Zm9DcrNU5eghdghhNwopx652mgfQxWskmhXHrAB3ml&#10;1X6737erxfleK7IT4KU1JZ2MxpQIw20lTVPSy3cXz2aU+MBMxZQ1oqQH4en58umTRecKkdvWqkoA&#10;QRDji86VtA3BFVnmeSs08yPrhEFnbUGzgFtosgpYh+haZfl4PM06C5UDy4X3eLrunXRAhMcA2rqW&#10;XKwtv9LChB4VhGIBKflWOk+Xqdq6Fjy8qWsvAlElRaYhrZgE7W1cs+WCFQ0w10o+lMAeU8IDTppJ&#10;g0mPUGsWGLkC+Q+Ulhyst3UYcauznkhSBFlMxg+0edsyJxIXlNq7o+j+/8Hy17sNEFmVNJ9QYpjG&#10;jt9+uPn5/vPtt+sfn27uvn+M9tcvBP0oVud8gTErs4Fh590GIvN9DTr+kRPZ42Dls/l0dkbJoaSn&#10;k3mePx/EFvtAOF7ADnD0nZzm83FyZfcYDnx4Kawm0SipD8Bk04aVNQY7amGStGa7Vz5gFRj4OyAW&#10;YOyFVCo1VhnSlXR6chaTMRzWGocETe2QsDcNJUw1+Ap4gITorZJVjI44HprtSgHZsTg76YsKYLa/&#10;rsXUa+bb/l5y9VOlZcCHoqQu6ewYzYrApHphKhIODrVmALYbYJVB9ChwL2m0trY6JKXTOc5Ayj/M&#10;axyyP/cp+v6NL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Vo60tUAAAAHAQAADwAAAAAAAAAB&#10;ACAAAAAiAAAAZHJzL2Rvd25yZXYueG1sUEsBAhQAFAAAAAgAh07iQMEdwjETAgAA6wMAAA4AAAAA&#10;AAAAAQAgAAAAJAEAAGRycy9lMm9Eb2MueG1sUEsFBgAAAAAGAAYAWQEAAKkFAAAAAA==&#10;">
                <v:fill on="f" focussize="0,0"/>
                <v:stroke weight="0.5pt" color="#000000 [3213]" miterlimit="8" joinstyle="miter" endarrow="open"/>
                <v:imagedata o:title=""/>
                <o:lock v:ext="edit" aspectratio="f"/>
              </v:shape>
            </w:pict>
          </mc:Fallback>
        </mc:AlternateContent>
      </w:r>
      <w:r>
        <w:rPr>
          <w:b/>
          <w:bCs/>
          <w:sz w:val="28"/>
        </w:rPr>
        <mc:AlternateContent>
          <mc:Choice Requires="wps">
            <w:drawing>
              <wp:anchor distT="0" distB="0" distL="114300" distR="114300" simplePos="0" relativeHeight="251662336" behindDoc="0" locked="0" layoutInCell="1" allowOverlap="1">
                <wp:simplePos x="0" y="0"/>
                <wp:positionH relativeFrom="column">
                  <wp:posOffset>389890</wp:posOffset>
                </wp:positionH>
                <wp:positionV relativeFrom="paragraph">
                  <wp:posOffset>228600</wp:posOffset>
                </wp:positionV>
                <wp:extent cx="504825" cy="1905"/>
                <wp:effectExtent l="0" t="0" r="0" b="0"/>
                <wp:wrapNone/>
                <wp:docPr id="18" name="直接连接符 18"/>
                <wp:cNvGraphicFramePr/>
                <a:graphic xmlns:a="http://schemas.openxmlformats.org/drawingml/2006/main">
                  <a:graphicData uri="http://schemas.microsoft.com/office/word/2010/wordprocessingShape">
                    <wps:wsp>
                      <wps:cNvCnPr>
                        <a:stCxn id="16" idx="1"/>
                      </wps:cNvCnPr>
                      <wps:spPr>
                        <a:xfrm flipH="1" flipV="1">
                          <a:off x="1756410" y="4192270"/>
                          <a:ext cx="50482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0.7pt;margin-top:18pt;height:0.15pt;width:39.75pt;z-index:251662336;mso-width-relative:page;mso-height-relative:page;" filled="f" stroked="t" coordsize="21600,21600" o:gfxdata="UEsDBAoAAAAAAIdO4kAAAAAAAAAAAAAAAAAEAAAAZHJzL1BLAwQUAAAACACHTuJA1ldxv9cAAAAI&#10;AQAADwAAAGRycy9kb3ducmV2LnhtbE2PS0/DMBCE70j9D9ZW4oKonT4ChDgVKgLl2hbUqxsvSdR4&#10;HdlOH/8e5wTHnRnNfpOvr6ZjZ3S+tSQhmQlgSJXVLdUSvvYfj8/AfFCkVWcJJdzQw7qY3OUq0/ZC&#10;WzzvQs1iCflMSWhC6DPOfdWgUX5me6To/VhnVIinq7l26hLLTcfnQqTcqJbih0b1uGmwOu0GI+Hh&#10;9t1SSdvT4dMdhvnqqXx/25RS3k8T8Qos4DX8hWHEj+hQRKajHUh71klIk2VMSlikcdLoL8ULsOMo&#10;LIAXOf8/oPgFUEsDBBQAAAAIAIdO4kDX5Kb5DgIAAPwDAAAOAAAAZHJzL2Uyb0RvYy54bWytUzuO&#10;2zAQ7QPkDgT7WJJje72C5S1sbFIEiYF8epqiJAL8gcO17EvkAgHSJVXK7XObbI6RIaXsL80WUUEN&#10;yTdvZt4MVxdHrchBeJDWVLSY5JQIw20tTVvRjx8uXywpgcBMzZQ1oqInAfRi/fzZqnelmNrOqlp4&#10;giQGyt5VtAvBlVkGvBOawcQ6YfCysV6zgFvfZrVnPbJrlU3zfJH11tfOWy4A8HQ7XNKR0T+F0DaN&#10;5GJr+ZUWJgysXigWsCTopAO6Ttk2jeDhXdOACERVFCsNacUgaO/jmq1XrGw9c53kYwrsKSk8qkkz&#10;aTDoLdWWBUauvPyHSkvuLdgmTLjV2VBIUgSrKPJH2rzvmBOpFpQa3K3o8P9o+dvDzhNZ4yRg3w3T&#10;2PGbL9e/Pn/7/fMrrjc/vhO8QZl6ByWiN2bnY6EQNkczOC4o/o/IEGHZA1zcgBs8jo3XpFHSvY7Q&#10;ZH2KVmRDIUhkOJsvZgX25lTRWXE+nZ6NHRLHQDgC5vlsOZ1TwhFQnOfzFJGVkTrSOA/hlbCaRKOi&#10;SpooHyvZ4Q2EmNwdJB4beymVSiOgDOkrung5x+Cc4Vg3OE5oaofSgGkpYarF98KDT4xglayjd+QB&#10;3+43ypMDi1OWvjGxB7CY1JZBN+DSVYSxUsuAT0pJXdHlfW9lRj0HCaOYe1ufdv6vzjgUqahxgOPU&#10;3d8n77tHu/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ldxv9cAAAAIAQAADwAAAAAAAAABACAA&#10;AAAiAAAAZHJzL2Rvd25yZXYueG1sUEsBAhQAFAAAAAgAh07iQNfkpvkOAgAA/AMAAA4AAAAAAAAA&#10;AQAgAAAAJgEAAGRycy9lMm9Eb2MueG1sUEsFBgAAAAAGAAYAWQEAAKYFAAAAAA==&#10;">
                <v:fill on="f" focussize="0,0"/>
                <v:stroke weight="0.5pt" color="#000000 [3213]" miterlimit="8" joinstyle="miter"/>
                <v:imagedata o:title=""/>
                <o:lock v:ext="edit" aspectratio="f"/>
              </v:line>
            </w:pict>
          </mc:Fallback>
        </mc:AlternateContent>
      </w:r>
      <w:r>
        <w:rPr>
          <w:rFonts w:hint="eastAsia" w:ascii="微软雅黑" w:hAnsi="微软雅黑" w:eastAsia="微软雅黑"/>
          <w:b/>
          <w:bCs/>
          <w:sz w:val="28"/>
          <w:lang w:eastAsia="zh-CN"/>
        </w:rPr>
        <w:tab/>
      </w:r>
    </w:p>
    <w:p>
      <w:pPr>
        <w:tabs>
          <w:tab w:val="left" w:pos="5819"/>
        </w:tabs>
        <w:spacing w:line="500" w:lineRule="exact"/>
        <w:rPr>
          <w:rFonts w:ascii="微软雅黑" w:hAnsi="微软雅黑" w:eastAsia="微软雅黑"/>
          <w:b/>
          <w:bCs/>
          <w:sz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-153035</wp:posOffset>
                </wp:positionH>
                <wp:positionV relativeFrom="paragraph">
                  <wp:posOffset>231775</wp:posOffset>
                </wp:positionV>
                <wp:extent cx="962025" cy="704850"/>
                <wp:effectExtent l="6350" t="6350" r="22225" b="12700"/>
                <wp:wrapNone/>
                <wp:docPr id="22" name="矩形 22"/>
                <wp:cNvGraphicFramePr/>
                <a:graphic xmlns:a="http://schemas.openxmlformats.org/drawingml/2006/main">
                  <a:graphicData uri="http://schemas.microsoft.com/office/word/2010/wordprocessingShape">
                    <wps:wsp>
                      <wps:cNvSpPr/>
                      <wps:spPr>
                        <a:xfrm>
                          <a:off x="851535" y="4658995"/>
                          <a:ext cx="962025" cy="704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同意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启动后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5pt;margin-top:18.25pt;height:55.5pt;width:75.75pt;z-index:251664384;v-text-anchor:middle;mso-width-relative:page;mso-height-relative:page;" fillcolor="#FFFFFF [3212]" filled="t" stroked="t" coordsize="21600,21600" o:gfxdata="UEsDBAoAAAAAAIdO4kAAAAAAAAAAAAAAAAAEAAAAZHJzL1BLAwQUAAAACACHTuJAUHVC+NgAAAAK&#10;AQAADwAAAGRycy9kb3ducmV2LnhtbE2PPU/DMBCGdyT+g3VIbK2dkLYojdMBwcaS0AG2a3wkUf0R&#10;xW6T8OtxJ9judI/ee97iMBvNrjT63lkJyVoAI9s41dtWwvHjbfUMzAe0CrWzJGEhD4fy/q7AXLnJ&#10;VnStQ8tiiPU5SuhCGHLOfdORQb92A9l4+3ajwRDXseVqxCmGG81TIbbcYG/jhw4HeumoOdcXIwHr&#10;+WtZls9p4pUW/etPNdTvlZSPD4nYAws0hz8YbvpRHcrodHIXqzzTElZplkRUwtN2A+wGpLsM2CkO&#10;2W4DvCz4/wrlL1BLAwQUAAAACACHTuJAXD8KeoMCAAALBQAADgAAAGRycy9lMm9Eb2MueG1srVRL&#10;btswEN0X6B0I7hvJqp3YRuTAiOGiQNAGSIuuaYqyBPBXkracXqZAdz1Ej1P0Gn2klMRJs8iiWlAz&#10;nOEM35sZnl8clCR74XxrdElHJzklQnNTtXpb0s+f1m+mlPjAdMWk0aKkt8LTi8XrV+ednYvCNEZW&#10;whEE0X7e2ZI2Idh5lnneCMX8ibFCw1gbp1iA6rZZ5ViH6EpmRZ6fZp1xlXWGC++xu+qNdIjoXhLQ&#10;1HXLxcrwnRI69FGdkCwAkm9a6+ki3bauBQ8f69qLQGRJgTSkFUkgb+KaLc7ZfOuYbVo+XIG95ApP&#10;MCnWaiS9D7VigZGda/8JpVrujDd1OOFGZT2QxAhQjPIn3Nw0zIqEBVR7e0+6/39h+Yf9tSNtVdKi&#10;oEQzhYr/+f7z968fBBtgp7N+Dqcbe+0GzUOMUA+1U/EPEORQ0ulkNHk7oeS2pOPTyXQ2m/TkikMg&#10;HPbZaZEXsHM4nOXj6SSRnz3Esc6Hd8IoEoWSOtQuUcr2Vz4gN1zvXGJab2RbrVspk+K2m0vpyJ6h&#10;zuv0xew48shNatKh54uzHPXnDN1bo2sgKgsGvN5SwuQWY8GDS7kfnfbHSfL0PZckXnLFfNNfJkXo&#10;mVBtwOTIVoGs49NS46aR557ZKIXD5jDQvTHVLUrkTN+73vJ1iwxXzIdr5tCsgIJxDh+x1NIAnxkk&#10;Shrjvj23H/3RQ7BS0qH5gf3rjjlBiXyv0V2z0XgcpyUp48lZAcUdWzbHFr1Tlwa8j/BwWJ7E6B/k&#10;nVg7o75g6pcxK0xMc+TuWR6Uy9APJd4NLpbL5IYJsSxc6RvLY/BYZ22Wu2DqNvVDJKpnZ+APM5Jq&#10;PsxzHMJjPXk9vGGL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B1QvjYAAAACgEAAA8AAAAAAAAA&#10;AQAgAAAAIgAAAGRycy9kb3ducmV2LnhtbFBLAQIUABQAAAAIAIdO4kBcPwp6gwIAAAsFAAAOAAAA&#10;AAAAAAEAIAAAACcBAABkcnMvZTJvRG9jLnhtbFBLBQYAAAAABgAGAFkBAAAcBg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同意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启动后</w:t>
                      </w:r>
                    </w:p>
                  </w:txbxContent>
                </v:textbox>
              </v:rect>
            </w:pict>
          </mc:Fallback>
        </mc:AlternateContent>
      </w:r>
      <w:r>
        <w:rPr>
          <w:rFonts w:hint="eastAsia" w:ascii="微软雅黑" w:hAnsi="微软雅黑" w:eastAsia="微软雅黑"/>
          <w:b/>
          <w:bCs/>
          <w:sz w:val="28"/>
          <w:lang w:eastAsia="zh-CN"/>
        </w:rPr>
        <w:tab/>
      </w:r>
      <w:r>
        <w:rPr>
          <w:rFonts w:hint="eastAsia" w:ascii="微软雅黑" w:hAnsi="微软雅黑" w:eastAsia="微软雅黑"/>
          <w:b/>
          <w:bCs/>
          <w:sz w:val="28"/>
          <w:lang w:val="en-US" w:eastAsia="zh-CN"/>
        </w:rPr>
        <w:t xml:space="preserve">  </w:t>
      </w:r>
    </w:p>
    <w:p>
      <w:pPr>
        <w:rPr>
          <w:b/>
          <w:bCs/>
          <w:sz w:val="28"/>
          <w:szCs w:val="28"/>
        </w:rPr>
      </w:pPr>
      <w:r>
        <w:rPr>
          <w:sz w:val="28"/>
        </w:rPr>
        <mc:AlternateContent>
          <mc:Choice Requires="wps">
            <w:drawing>
              <wp:anchor distT="0" distB="0" distL="114300" distR="114300" simplePos="0" relativeHeight="251665408" behindDoc="0" locked="0" layoutInCell="1" allowOverlap="1">
                <wp:simplePos x="0" y="0"/>
                <wp:positionH relativeFrom="column">
                  <wp:posOffset>2113915</wp:posOffset>
                </wp:positionH>
                <wp:positionV relativeFrom="paragraph">
                  <wp:posOffset>33655</wp:posOffset>
                </wp:positionV>
                <wp:extent cx="0" cy="476250"/>
                <wp:effectExtent l="48895" t="0" r="65405" b="0"/>
                <wp:wrapNone/>
                <wp:docPr id="23" name="直接箭头连接符 23"/>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6.45pt;margin-top:2.65pt;height:37.5pt;width:0pt;z-index:251665408;mso-width-relative:page;mso-height-relative:page;" filled="f" stroked="t" coordsize="21600,21600" o:gfxdata="UEsDBAoAAAAAAIdO4kAAAAAAAAAAAAAAAAAEAAAAZHJzL1BLAwQUAAAACACHTuJAzxO+tdYAAAAI&#10;AQAADwAAAGRycy9kb3ducmV2LnhtbE2PzU7DMBCE70i8g7VI3KjdRqASsqkEbU5woCkHjk68JBH2&#10;OordH/r0GHGA42hGM98Uq5Oz4kBTGDwjzGcKBHHrzcAdwtuuulmCCFGz0dYzIXxRgFV5eVHo3Pgj&#10;b+lQx06kEg65RuhjHHMpQ9uT02HmR+LkffjJ6Zjk1Ekz6WMqd1YulLqTTg+cFno90lNP7We9dwjj&#10;+8vm/PxY6Vid7XrzStNuXTeI11dz9QAi0in+heEHP6FDmZgav2cThEXIssV9iiLcZiCS/6sbhKXK&#10;QJaF/H+g/AZQSwMEFAAAAAgAh07iQIYwiy0KAgAA6QMAAA4AAABkcnMvZTJvRG9jLnhtbK1TzY7T&#10;MBC+I/EOlu803S6UVdR0Dy3LBUElfu5Tx0ks+U9jb9O+BC+AxAk4sZz2ztPA8hiMnVBgueyBHKzx&#10;TOab+b4ZL873RrOdxKCcrfjJZMqZtMLVyrYVf/3q4sEZZyGCrUE7Kyt+kIGfL+/fW/S+lDPXOV1L&#10;ZARiQ9n7incx+rIoguikgTBxXloKNg4NRLpiW9QIPaEbXcym03nRO6w9OiFDIO96CPIREe8C6JpG&#10;Cbl24tJIGwdUlBoiUQqd8oEvc7dNI0V80TRBRqYrTkxjPqkI2dt0FssFlC2C75QYW4C7tHCLkwFl&#10;qegRag0R2CWqf6CMEuiCa+JEOFMMRLIixOJkekublx14mbmQ1MEfRQ//D1Y8322Qqbris1POLBia&#10;+M276+9vP958ufr24frH1/fJ/vyJUZzE6n0oKWdlNzjegt9gYr5v0LBGK/+GtiprQezYPkt9OEot&#10;95GJwSnI+/DxfPYoT6EYEBKSxxCfSmdYMioeIoJqu7hy1tI8HQ7osHsWIvVAib8SUrJ1F0rrPFZt&#10;WV/x+SkVYAJoVRtaETKNJ7rBtpyBbukNiIi53+C0qlN2wgnYblca2Q7S5uQv8adqf/2WSq8hdMN/&#10;OTTslFGRnolWpuJnx2woIyj9xNYsHjwpDYiuH2G1JfQk7yBosrauPmSds582INcftzWt2J/3nP37&#10;h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8TvrXWAAAACAEAAA8AAAAAAAAAAQAgAAAAIgAA&#10;AGRycy9kb3ducmV2LnhtbFBLAQIUABQAAAAIAIdO4kCGMIstCgIAAOkDAAAOAAAAAAAAAAEAIAAA&#10;ACUBAABkcnMvZTJvRG9jLnhtbFBLBQYAAAAABgAGAFkBAAChBQAAAAA=&#10;">
                <v:fill on="f" focussize="0,0"/>
                <v:stroke weight="0.5pt" color="#000000 [3213]" miterlimit="8" joinstyle="miter" endarrow="open"/>
                <v:imagedata o:title=""/>
                <o:lock v:ext="edit" aspectratio="f"/>
              </v:shape>
            </w:pict>
          </mc:Fallback>
        </mc:AlternateContent>
      </w:r>
    </w:p>
    <w:p>
      <w:pPr>
        <w:tabs>
          <w:tab w:val="left" w:pos="6629"/>
        </w:tabs>
        <w:spacing w:line="340" w:lineRule="exact"/>
        <w:ind w:firstLine="3080" w:firstLineChars="1100"/>
        <w:rPr>
          <w:b/>
          <w:bCs/>
          <w:sz w:val="28"/>
          <w:szCs w:val="28"/>
        </w:rPr>
      </w:pPr>
      <w:r>
        <w:rPr>
          <w:sz w:val="28"/>
        </w:rPr>
        <mc:AlternateContent>
          <mc:Choice Requires="wps">
            <w:drawing>
              <wp:anchor distT="0" distB="0" distL="114300" distR="114300" simplePos="0" relativeHeight="251676672" behindDoc="0" locked="0" layoutInCell="1" allowOverlap="1">
                <wp:simplePos x="0" y="0"/>
                <wp:positionH relativeFrom="column">
                  <wp:posOffset>3446780</wp:posOffset>
                </wp:positionH>
                <wp:positionV relativeFrom="paragraph">
                  <wp:posOffset>30480</wp:posOffset>
                </wp:positionV>
                <wp:extent cx="2146300" cy="657860"/>
                <wp:effectExtent l="38100" t="4445" r="44450" b="23495"/>
                <wp:wrapNone/>
                <wp:docPr id="35" name="双大括号 35"/>
                <wp:cNvGraphicFramePr/>
                <a:graphic xmlns:a="http://schemas.openxmlformats.org/drawingml/2006/main">
                  <a:graphicData uri="http://schemas.microsoft.com/office/word/2010/wordprocessingShape">
                    <wps:wsp>
                      <wps:cNvSpPr/>
                      <wps:spPr>
                        <a:xfrm>
                          <a:off x="0" y="0"/>
                          <a:ext cx="2146300" cy="657860"/>
                        </a:xfrm>
                        <a:prstGeom prst="bracePair">
                          <a:avLst>
                            <a:gd name="adj" fmla="val 1041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keepNext w:val="0"/>
                              <w:keepLines w:val="0"/>
                              <w:pageBreakBefore w:val="0"/>
                              <w:widowControl w:val="0"/>
                              <w:tabs>
                                <w:tab w:val="left" w:pos="6629"/>
                              </w:tabs>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b w:val="0"/>
                                <w:bCs w:val="0"/>
                                <w:sz w:val="24"/>
                                <w:szCs w:val="24"/>
                                <w:lang w:eastAsia="zh-CN"/>
                              </w:rPr>
                              <w:t>分析评估灾情</w:t>
                            </w:r>
                          </w:p>
                        </w:txbxContent>
                      </wps:txbx>
                      <wps:bodyPr/>
                    </wps:wsp>
                  </a:graphicData>
                </a:graphic>
              </wp:anchor>
            </w:drawing>
          </mc:Choice>
          <mc:Fallback>
            <w:pict>
              <v:shape id="_x0000_s1026" o:spid="_x0000_s1026" o:spt="186" type="#_x0000_t186" style="position:absolute;left:0pt;margin-left:271.4pt;margin-top:2.4pt;height:51.8pt;width:169pt;z-index:251676672;mso-width-relative:page;mso-height-relative:page;" filled="f" stroked="t" coordsize="21600,21600" o:gfxdata="UEsDBAoAAAAAAIdO4kAAAAAAAAAAAAAAAAAEAAAAZHJzL1BLAwQUAAAACACHTuJAwWm0A9gAAAAJ&#10;AQAADwAAAGRycy9kb3ducmV2LnhtbE2PP0/DMBDFdyS+g3VIbNRuCNQNcTogVWLoAIWh4yVx/rTx&#10;OYqdtnx7jgmmu9N7evd7+ebqBnG2U+g9GVguFAhLla97ag18fW4fNIgQkWocPFkD3zbApri9yTGr&#10;/YU+7HkfW8EhFDI00MU4ZlKGqrMOw8KPllhr/OQw8jm1sp7wwuFukIlSz9JhT/yhw9G+drY67Wdn&#10;YL162zVhl2wPp+PcrPURH99LNOb+bqleQER7jX9m+MVndCiYqfQz1UEMBp7ShNGjgZQH61orXko2&#10;Kp2CLHL5v0HxA1BLAwQUAAAACACHTuJAezpwwwMCAADxAwAADgAAAGRycy9lMm9Eb2MueG1srVPN&#10;jtMwEL4j8Q6W7zRpuw1V1HQPVMsFQaWFB5g6TmLkP9neJn0GkPYlkLhw54nKczB2QndZLnsgB2fs&#10;mflmvs/jzfWgJDly54XRFZ3Pckq4ZqYWuq3op483r9aU+AC6Bmk0r+iJe3q9ffli09uSL0xnZM0d&#10;QRDty95WtAvBllnmWccV+JmxXKOzMU5BwK1rs9pBj+hKZos8L7LeuNo6w7j3eLobnXRCdM8BNE0j&#10;GN8Zdqe4DiOq4xICUvKdsJ5uU7dNw1n40DSeByIrikxDWrEI2oe4ZtsNlK0D2wk2tQDPaeEJJwVC&#10;Y9EL1A4CkDsn/oFSgjnjTRNmzKhsJJIUQRbz/Ik2tx1Ynrig1N5eRPf/D5a9P+4dEXVFlytKNCi8&#10;8fP91/O377++/Djf/yR4jBr11pcYemv3btp5NCPhoXEq/pEKGZKup4uufAiE4eFiflUsc5Scoa9Y&#10;vV4XSfjsIds6H95yo0g0KnpwwPgehEuawvGdD0nceuoQ6s+UNEriVR1Bknl+NS9im4g4BaP1BzNm&#10;anMjpEyXLTXpsYvlKvYDOMANDg6ayqIIXreUgGzxZbAwVvdGijpmRxzv2sMb6QhWRZbpm+r+FRZL&#10;78B3Y1xyxTAolQj4eKRQFV0/zpYam48ij7JGKwyHYdL6YOpTEj6F4CQkptPUxlF7vE9ADy91+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BabQD2AAAAAkBAAAPAAAAAAAAAAEAIAAAACIAAABkcnMv&#10;ZG93bnJldi54bWxQSwECFAAUAAAACACHTuJAezpwwwMCAADxAwAADgAAAAAAAAABACAAAAAnAQAA&#10;ZHJzL2Uyb0RvYy54bWxQSwUGAAAAAAYABgBZAQAAnAUAAAAA&#10;" adj="2250">
                <v:fill on="f" focussize="0,0"/>
                <v:stroke weight="0.5pt" color="#000000 [3213]" miterlimit="8" joinstyle="miter"/>
                <v:imagedata o:title=""/>
                <o:lock v:ext="edit" aspectratio="f"/>
                <v:textbox>
                  <w:txbxContent>
                    <w:p>
                      <w:pPr>
                        <w:keepNext w:val="0"/>
                        <w:keepLines w:val="0"/>
                        <w:pageBreakBefore w:val="0"/>
                        <w:widowControl w:val="0"/>
                        <w:tabs>
                          <w:tab w:val="left" w:pos="6629"/>
                        </w:tabs>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b w:val="0"/>
                          <w:bCs w:val="0"/>
                          <w:sz w:val="24"/>
                          <w:szCs w:val="24"/>
                          <w:lang w:eastAsia="zh-CN"/>
                        </w:rPr>
                        <w:t>分析评估灾情</w:t>
                      </w:r>
                    </w:p>
                  </w:txbxContent>
                </v:textbox>
              </v:shap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960120</wp:posOffset>
                </wp:positionH>
                <wp:positionV relativeFrom="paragraph">
                  <wp:posOffset>104140</wp:posOffset>
                </wp:positionV>
                <wp:extent cx="2421890" cy="571500"/>
                <wp:effectExtent l="6350" t="6350" r="10160" b="12700"/>
                <wp:wrapNone/>
                <wp:docPr id="24" name="圆角矩形 24"/>
                <wp:cNvGraphicFramePr/>
                <a:graphic xmlns:a="http://schemas.openxmlformats.org/drawingml/2006/main">
                  <a:graphicData uri="http://schemas.microsoft.com/office/word/2010/wordprocessingShape">
                    <wps:wsp>
                      <wps:cNvSpPr/>
                      <wps:spPr>
                        <a:xfrm>
                          <a:off x="0" y="0"/>
                          <a:ext cx="2421890" cy="571500"/>
                        </a:xfrm>
                        <a:prstGeom prst="roundRect">
                          <a:avLst>
                            <a:gd name="adj" fmla="val 2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区减灾委办公室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5.6pt;margin-top:8.2pt;height:45pt;width:190.7pt;z-index:251666432;v-text-anchor:middle;mso-width-relative:page;mso-height-relative:page;" fillcolor="#FFFFFF [3212]" filled="t" stroked="t" coordsize="21600,21600" arcsize="0.2" o:gfxdata="UEsDBAoAAAAAAIdO4kAAAAAAAAAAAAAAAAAEAAAAZHJzL1BLAwQUAAAACACHTuJAQj6gY9cAAAAK&#10;AQAADwAAAGRycy9kb3ducmV2LnhtbE2PS0/DMBCE70j8B2srcaO2A4mqEKcHJLhwQLQFiZsTb5Oo&#10;fkS2+/r3LCe47cyOZr9t1hdn2QljmoJXIJcCGPo+mMkPCnbbl/sVsJS1N9oGjwqumGDd3t40ujbh&#10;7D/wtMkDoxKfaq1gzHmuOU/9iE6nZZjR024fotOZZBy4ifpM5c7yQoiKOz15ujDqGZ9H7A+bo1Pw&#10;/XZYfclYpVB8dmX/vpXXV2GVultI8QQs4yX/heEXn9ChJaYuHL1JzJIuZUFRGqpHYBQoH4oKWEeG&#10;IIe3Df//QvsDUEsDBBQAAAAIAIdO4kD9wyKkmwIAADgFAAAOAAAAZHJzL2Uyb0RvYy54bWytVM1u&#10;EzEQviPxDpbvdJMopW3UTRU1CkKqaEVAnB2vN2vkP2znpzwAD8AZCYkL4iF4nAoeg8/ebZoWDj2Q&#10;w2bGM/N55psZn55ttSJr4YO0pqT9gx4lwnBbSbMs6ds3s2fHlITITMWUNaKk1yLQs/HTJ6cbNxID&#10;21hVCU8AYsJo40raxOhGRRF4IzQLB9YJA2NtvWYRql8WlWcboGtVDHq958XG+sp5y0UIOJ22Rtoh&#10;+scA2rqWXEwtX2lhYovqhWIRJYVGukDHOdu6Fjxe1nUQkaiSotKYv7gE8iJ9i/EpGy09c43kXQrs&#10;MSk8qEkzaXDpDmrKIiMrL/+C0pJ7G2wdD7jVRVtIZgRV9HsPuJk3zIlcC6gObkd6+H+w/NX6yhNZ&#10;lXQwpMQwjY7ffPn0+/vnX19/3Pz8RnAMjjYujOA6d1e+0wLEVPC29jr9oxSyzbxe73gV20g4DgfD&#10;Qf/4BJRz2A6P+oe9THxxF+18iC+E1SQJJfV2ZarXaF7mlK0vQszkVl2GrHpPSa0VWrVmimCsdoid&#10;M7BvMVNksEpWM6lUVvxyca48QWhJZ/mXakTIPTdlyAYLMjgCNuEMo15jxCBqB7qCWVLC1BI7xKPP&#10;ed6LDvuXpPx2Gd5zS0lOWWjaZLKpnUktI9ZMSV3S4/1oZZBpakfbgCTF7WLbdWVhq2v009t20IPj&#10;M4kbLliIV8yDLpSC3Y+X+NTKoj7bSZQ01n/813nyx8DBSskGm4LaP6yYF5SolwajeNIfDgEbszI8&#10;PBpA8fuWxb7FrPS5Be99vDKOZzH5R3Ur1t7qd3giJulWmJjhuLtluVPOY7vBeGS4mEyyG9bJsXhh&#10;5o4n8NRnYyeraGsZU3MTUS07nYKFyj3vlj9t7L6eve4evPE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j6gY9cAAAAKAQAADwAAAAAAAAABACAAAAAiAAAAZHJzL2Rvd25yZXYueG1sUEsBAhQAFAAA&#10;AAgAh07iQP3DIqSbAgAAOAUAAA4AAAAAAAAAAQAgAAAAJgEAAGRycy9lMm9Eb2MueG1sUEsFBgAA&#10;AAAGAAYAWQEAADMGAAAAAA==&#10;">
                <v:fill on="t" focussize="0,0"/>
                <v:stroke weight="1pt" color="#000000 [3213]" miterlimit="8" joinstyle="miter"/>
                <v:imagedata o:title=""/>
                <o:lock v:ext="edit" aspectratio="f"/>
                <v:textbox>
                  <w:txbxContent>
                    <w:p>
                      <w:pPr>
                        <w:jc w:val="cente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区减灾委办公室</w:t>
                      </w:r>
                    </w:p>
                  </w:txbxContent>
                </v:textbox>
              </v:roundrect>
            </w:pict>
          </mc:Fallback>
        </mc:AlternateContent>
      </w:r>
      <w:r>
        <w:rPr>
          <w:rFonts w:hint="eastAsia"/>
          <w:b/>
          <w:bCs/>
          <w:sz w:val="28"/>
          <w:szCs w:val="28"/>
          <w:lang w:eastAsia="zh-CN"/>
        </w:rPr>
        <w:tab/>
      </w:r>
    </w:p>
    <w:p>
      <w:pPr>
        <w:spacing w:line="340" w:lineRule="exact"/>
        <w:ind w:firstLine="2240" w:firstLineChars="800"/>
        <w:rPr>
          <w:b/>
          <w:bCs/>
          <w:sz w:val="28"/>
          <w:szCs w:val="28"/>
        </w:rPr>
      </w:pPr>
      <w:r>
        <w:rPr>
          <w:sz w:val="28"/>
        </w:rPr>
        <mc:AlternateContent>
          <mc:Choice Requires="wps">
            <w:drawing>
              <wp:anchor distT="0" distB="0" distL="114300" distR="114300" simplePos="0" relativeHeight="251667456" behindDoc="0" locked="0" layoutInCell="1" allowOverlap="1">
                <wp:simplePos x="0" y="0"/>
                <wp:positionH relativeFrom="column">
                  <wp:posOffset>328295</wp:posOffset>
                </wp:positionH>
                <wp:positionV relativeFrom="paragraph">
                  <wp:posOffset>6985</wp:posOffset>
                </wp:positionV>
                <wp:extent cx="4445" cy="238760"/>
                <wp:effectExtent l="4445" t="0" r="10160" b="8890"/>
                <wp:wrapNone/>
                <wp:docPr id="25" name="直接连接符 25"/>
                <wp:cNvGraphicFramePr/>
                <a:graphic xmlns:a="http://schemas.openxmlformats.org/drawingml/2006/main">
                  <a:graphicData uri="http://schemas.microsoft.com/office/word/2010/wordprocessingShape">
                    <wps:wsp>
                      <wps:cNvCnPr>
                        <a:stCxn id="22" idx="2"/>
                      </wps:cNvCnPr>
                      <wps:spPr>
                        <a:xfrm>
                          <a:off x="1228090" y="5354320"/>
                          <a:ext cx="4445" cy="238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85pt;margin-top:0.55pt;height:18.8pt;width:0.35pt;z-index:251667456;mso-width-relative:page;mso-height-relative:page;" filled="f" stroked="t" coordsize="21600,21600" o:gfxdata="UEsDBAoAAAAAAIdO4kAAAAAAAAAAAAAAAAAEAAAAZHJzL1BLAwQUAAAACACHTuJAVQAyitQAAAAG&#10;AQAADwAAAGRycy9kb3ducmV2LnhtbE2OMU/DMBCFdyT+g3VIbNRJoSRK43RAYkBCAgIDoxtfkxT7&#10;HGI3Cf+eY6Ljvff03VfuFmfFhGPoPSlIVwkIpMabnloFH++PNzmIEDUZbT2hgh8MsKsuL0pdGD/T&#10;G051bAVDKBRaQRfjUEgZmg6dDis/IHF38KPTkc+xlWbUM8OdleskuZdO98QfOj3gQ4fNV31yTKHs&#10;+7DY8fP15bnL6/mIT1OGSl1fpckWRMQl/o/hT5/VoWKnvT+RCcIq2KQZLzlPQXC9Wd+B2Cu4zTOQ&#10;VSnP9atfUEsDBBQAAAAIAIdO4kA2J7KaBAIAAOgDAAAOAAAAZHJzL2Uyb0RvYy54bWytU82O0zAQ&#10;viPxDpbvNG36QzdquodWywVBJeABXMdJLPlPHm/TvgQvgMQNThy58za7PAZjJ90ty2UP5ODYnplv&#10;5vtmvLo+akUOwoO0pqST0ZgSYbitpGlK+unjzaslJRCYqZiyRpT0JIBer1++WHWuELltraqEJwhi&#10;oOhcSdsQXJFlwFuhGYysEwaNtfWaBTz6Jqs86xBdqywfjxdZZ33lvOUCAG+3vZEOiP45gLauJRdb&#10;y2+1MKFH9UKxgJSglQ7oOlVb14KH93UNIhBVUmQa0opJcL+Pa7ZesaLxzLWSDyWw55TwhJNm0mDS&#10;B6gtC4zcevkPlJbcW7B1GHGrs55IUgRZTMZPtPnQMicSF5Qa3IPo8P9g+bvDzhNZlTSfU2KYxo7f&#10;f/l59/nb719fcb3/8Z2gBWXqHBTovTE7H4lC2BxNH5hT/B8RIbplf/nFA7g+4lh7HSORNEHvSZ4v&#10;x1fYh1NJ59P5bJoP3RDHQDg6zGYzLImjOZ8uXy+SNWPFGcZ5CG+E1SRuSqqkiVKxgh3eQoiFsOLs&#10;Eq+NvZFKpXYrQ7qSLqZzTM4ZjnCNo4Nb7VAGMA0lTDX4NnjwCRGsklWMTrx9s98oTw4sTlT6Em1U&#10;5NItpt4yaHu/ZOpnTcuAz0dJXdLlZbQyg3a9XFG4va1OO3/WFAcgkRqGNU7Y5TlFPz7Q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ADKK1AAAAAYBAAAPAAAAAAAAAAEAIAAAACIAAABkcnMvZG93&#10;bnJldi54bWxQSwECFAAUAAAACACHTuJANieymgQCAADoAwAADgAAAAAAAAABACAAAAAjAQAAZHJz&#10;L2Uyb0RvYy54bWxQSwUGAAAAAAYABgBZAQAAmQUAAAAA&#10;">
                <v:fill on="f" focussize="0,0"/>
                <v:stroke weight="0.5pt" color="#000000 [3213]" miterlimit="8" joinstyle="miter"/>
                <v:imagedata o:title=""/>
                <o:lock v:ext="edit" aspectratio="f"/>
              </v:line>
            </w:pict>
          </mc:Fallback>
        </mc:AlternateContent>
      </w:r>
    </w:p>
    <w:p>
      <w:pPr>
        <w:tabs>
          <w:tab w:val="left" w:pos="6644"/>
        </w:tabs>
        <w:spacing w:line="340" w:lineRule="exact"/>
        <w:ind w:firstLine="2240" w:firstLineChars="800"/>
        <w:rPr>
          <w:b/>
          <w:bCs/>
          <w:sz w:val="28"/>
          <w:szCs w:val="28"/>
        </w:rPr>
      </w:pPr>
      <w:r>
        <w:rPr>
          <w:sz w:val="28"/>
        </w:rPr>
        <mc:AlternateContent>
          <mc:Choice Requires="wps">
            <w:drawing>
              <wp:anchor distT="0" distB="0" distL="114300" distR="114300" simplePos="0" relativeHeight="251668480" behindDoc="0" locked="0" layoutInCell="1" allowOverlap="1">
                <wp:simplePos x="0" y="0"/>
                <wp:positionH relativeFrom="column">
                  <wp:posOffset>332740</wp:posOffset>
                </wp:positionH>
                <wp:positionV relativeFrom="paragraph">
                  <wp:posOffset>33020</wp:posOffset>
                </wp:positionV>
                <wp:extent cx="552450" cy="0"/>
                <wp:effectExtent l="0" t="48895" r="0" b="65405"/>
                <wp:wrapNone/>
                <wp:docPr id="26" name="直接箭头连接符 26"/>
                <wp:cNvGraphicFramePr/>
                <a:graphic xmlns:a="http://schemas.openxmlformats.org/drawingml/2006/main">
                  <a:graphicData uri="http://schemas.microsoft.com/office/word/2010/wordprocessingShape">
                    <wps:wsp>
                      <wps:cNvCnPr/>
                      <wps:spPr>
                        <a:xfrm>
                          <a:off x="1232535" y="5469255"/>
                          <a:ext cx="552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2pt;margin-top:2.6pt;height:0pt;width:43.5pt;z-index:251668480;mso-width-relative:page;mso-height-relative:page;" filled="f" stroked="t" coordsize="21600,21600" o:gfxdata="UEsDBAoAAAAAAIdO4kAAAAAAAAAAAAAAAAAEAAAAZHJzL1BLAwQUAAAACACHTuJAuI6i7tQAAAAG&#10;AQAADwAAAGRycy9kb3ducmV2LnhtbE2Oy07DMBBF90j8gzVI3SDq9EFFQ5wKWlU8dhQ+YBpPkzT2&#10;OIrd19/XYQOr0dG9unOyxdkacaTO144VjIYJCOLC6ZpLBT/f64cnED4gazSOScGFPCzy25sMU+1O&#10;/EXHTShFHGGfooIqhDaV0hcVWfRD1xLHbOc6iyFiV0rd4SmOWyPHSTKTFmuOHypsaVlR0WwOVsFu&#10;/zF7nRb7zzd/sffv85fGrUyj1OBulDyDCHQOf2Xo9aM65NFp6w6svTAKHsfT2OwviD6ezCNvf1nm&#10;mfyvn18BUEsDBBQAAAAIAIdO4kD8QpnwEgIAAOsDAAAOAAAAZHJzL2Uyb0RvYy54bWytU82O0zAQ&#10;viPxDpbvNG26qZao6R5alguCSsADuI6TWPKfxt6mfQleAIkTcII97Z2ngeUxGDuhC8tlD+TgjO2Z&#10;b+b7Zry8OGhF9gK8tKais8mUEmG4raVpK/r2zeWTc0p8YKZmyhpR0aPw9GL1+NGyd6XIbWdVLYAg&#10;iPFl7yraheDKLPO8E5r5iXXC4GVjQbOAW2izGliP6Fpl+XS6yHoLtQPLhfd4uhku6YgIDwG0TSO5&#10;2Fh+pYUJAyoIxQJS8p10nq5StU0jeHjVNF4EoiqKTENaMQnau7hmqyUrW2Cuk3wsgT2khHucNJMG&#10;k56gNiwwcgXyHygtOVhvmzDhVmcDkaQIsphN72nzumNOJC4otXcn0f3/g+Uv91sgsq5ovqDEMI0d&#10;v31/8+Pdp9vrr98/3vz89iHaXz4TvEexeudLjFmbLYw777YQmR8a0PGPnMgBByuf58W8oORY0eJs&#10;8TQvikFscQiEo0NR5GcFtoGjQ+pDdofhwIfnwmoSjYr6AEy2XVhbY7CjFmZJa7Z/4QNWgYG/A2IB&#10;xl5KpVJjlSF9RRfzlIfhsDY4JJhSOyTsTUsJUy2+Ah4gIXqrZB2jI46HdrdWQPYszk76IgPM9pdb&#10;TL1hvhv80tVAVMuAD0VJXdHzUzQrA5PqmalJODrUmgHYfoRVBtGjwIOk0drZ+piUTuc4Ayn/OK9x&#10;yP7cp+i7N7r6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Oou7UAAAABgEAAA8AAAAAAAAAAQAg&#10;AAAAIgAAAGRycy9kb3ducmV2LnhtbFBLAQIUABQAAAAIAIdO4kD8QpnwEgIAAOsDAAAOAAAAAAAA&#10;AAEAIAAAACMBAABkcnMvZTJvRG9jLnhtbFBLBQYAAAAABgAGAFkBAACnBQAAAAA=&#10;">
                <v:fill on="f" focussize="0,0"/>
                <v:stroke weight="0.5pt" color="#000000 [3213]" miterlimit="8" joinstyle="miter" endarrow="open"/>
                <v:imagedata o:title=""/>
                <o:lock v:ext="edit" aspectratio="f"/>
              </v:shape>
            </w:pict>
          </mc:Fallback>
        </mc:AlternateContent>
      </w:r>
      <w:r>
        <w:rPr>
          <w:rFonts w:hint="eastAsia"/>
          <w:b/>
          <w:bCs/>
          <w:sz w:val="28"/>
          <w:szCs w:val="28"/>
          <w:lang w:eastAsia="zh-CN"/>
        </w:rPr>
        <w:tab/>
      </w:r>
    </w:p>
    <w:p>
      <w:pPr>
        <w:spacing w:line="340" w:lineRule="exact"/>
        <w:ind w:firstLine="2240" w:firstLineChars="800"/>
        <w:rPr>
          <w:b/>
          <w:bCs/>
          <w:sz w:val="28"/>
          <w:szCs w:val="28"/>
        </w:rPr>
      </w:pPr>
      <w:r>
        <w:rPr>
          <w:sz w:val="28"/>
        </w:rPr>
        <mc:AlternateContent>
          <mc:Choice Requires="wps">
            <w:drawing>
              <wp:anchor distT="0" distB="0" distL="114300" distR="114300" simplePos="0" relativeHeight="251671552" behindDoc="0" locked="0" layoutInCell="1" allowOverlap="1">
                <wp:simplePos x="0" y="0"/>
                <wp:positionH relativeFrom="column">
                  <wp:posOffset>2104390</wp:posOffset>
                </wp:positionH>
                <wp:positionV relativeFrom="paragraph">
                  <wp:posOffset>27940</wp:posOffset>
                </wp:positionV>
                <wp:extent cx="0" cy="461645"/>
                <wp:effectExtent l="48895" t="0" r="65405" b="14605"/>
                <wp:wrapNone/>
                <wp:docPr id="29" name="直接箭头连接符 29"/>
                <wp:cNvGraphicFramePr/>
                <a:graphic xmlns:a="http://schemas.openxmlformats.org/drawingml/2006/main">
                  <a:graphicData uri="http://schemas.microsoft.com/office/word/2010/wordprocessingShape">
                    <wps:wsp>
                      <wps:cNvCnPr/>
                      <wps:spPr>
                        <a:xfrm flipV="1">
                          <a:off x="0" y="0"/>
                          <a:ext cx="0" cy="461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5.7pt;margin-top:2.2pt;height:36.35pt;width:0pt;z-index:251671552;mso-width-relative:page;mso-height-relative:page;" filled="f" stroked="t" coordsize="21600,21600" o:gfxdata="UEsDBAoAAAAAAIdO4kAAAAAAAAAAAAAAAAAEAAAAZHJzL1BLAwQUAAAACACHTuJAt3fT1NYAAAAI&#10;AQAADwAAAGRycy9kb3ducmV2LnhtbE2PO0/DQBCEeyT+w2mR6MjZJCLIeB0JEldQEIeC8uxbbIt7&#10;WHeXB/n1LKKAajWa0ew35epkjThQiKN3CPksA0Gu83p0PcLbrr65BxGTcloZ7wjhiyKsqsuLUhXa&#10;H92WDk3qBZe4WCiEIaWpkDJ2A1kVZ34ix96HD1YllqGXOqgjl1sjb7PsTlo1Ov4wqImeBuo+m71F&#10;mN5fNufnx1ql+mzWm1cKu3XTIl5f5dkDiESn9BeGH3xGh4qZWr93OgqDMJ/nC44iLPiw/6tbhOUy&#10;B1mV8v+A6htQSwMEFAAAAAgAh07iQGZBfsYKAgAA6QMAAA4AAABkcnMvZTJvRG9jLnhtbK1TzY7T&#10;MBC+I/EOlu807bJbLVHTPbQsFwSV+LlPHSex5D+NvU37ErwAEifgBJz2ztPA8hiMnVBgueyBHKLx&#10;jL/P830eLy72RrOdxKCcrfhsMuVMWuFqZduKv3p5+eCcsxDB1qCdlRU/yMAvlvfvLXpfyhPXOV1L&#10;ZERiQ9n7incx+rIoguikgTBxXloqNg4NRFpiW9QIPbEbXZxMp/Oid1h7dEKGQNn1UOQjI96F0DWN&#10;EnLtxJWRNg6sKDVEkhQ65QNf5m6bRor4vGmCjExXnJTG/KdDKN6mf7FcQNki+E6JsQW4Swu3NBlQ&#10;lg49Uq0hArtC9Q+VUQJdcE2cCGeKQUh2hFTMpre8edGBl1kLWR380fTw/2jFs90GmaorfvKIMwuG&#10;bvzm7fX3Nx9uvnz+9v76x9d3Kf70kVGdzOp9KAmzshscV8FvMCnfN2hYo5V/TVOVvSB1bJ+tPhyt&#10;lvvIxJAUlD2dz+anZ4m4GBgSk8cQn0hnWAoqHiKCaru4ctbSfToc2GH3NMQB+AuQwNZdKq0pD6W2&#10;rK/4/OEZXbYAGtWGRoRC40lusC1noFt6AyJi7jc4reqETuCA7Xalke0gTU7+xjb/2paOXkPohn25&#10;lLZBaVSkZ6KVqfj5EQ1lBKUf25rFgyenAdH1I622ZEKydzA0RVtXH7LPOU8TkG0apzWN2J/rjP79&#10;Qp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d309TWAAAACAEAAA8AAAAAAAAAAQAgAAAAIgAA&#10;AGRycy9kb3ducmV2LnhtbFBLAQIUABQAAAAIAIdO4kBmQX7GCgIAAOkDAAAOAAAAAAAAAAEAIAAA&#10;ACUBAABkcnMvZTJvRG9jLnhtbFBLBQYAAAAABgAGAFkBAAChBQ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1466215</wp:posOffset>
                </wp:positionH>
                <wp:positionV relativeFrom="paragraph">
                  <wp:posOffset>36195</wp:posOffset>
                </wp:positionV>
                <wp:extent cx="0" cy="1009650"/>
                <wp:effectExtent l="48895" t="0" r="65405" b="0"/>
                <wp:wrapNone/>
                <wp:docPr id="27" name="直接箭头连接符 27"/>
                <wp:cNvGraphicFramePr/>
                <a:graphic xmlns:a="http://schemas.openxmlformats.org/drawingml/2006/main">
                  <a:graphicData uri="http://schemas.microsoft.com/office/word/2010/wordprocessingShape">
                    <wps:wsp>
                      <wps:cNvCnPr/>
                      <wps:spPr>
                        <a:xfrm>
                          <a:off x="2366010" y="5688330"/>
                          <a:ext cx="0" cy="1009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45pt;margin-top:2.85pt;height:79.5pt;width:0pt;z-index:251669504;mso-width-relative:page;mso-height-relative:page;" filled="f" stroked="t" coordsize="21600,21600" o:gfxdata="UEsDBAoAAAAAAIdO4kAAAAAAAAAAAAAAAAAEAAAAZHJzL1BLAwQUAAAACACHTuJAZqOzntcAAAAJ&#10;AQAADwAAAGRycy9kb3ducmV2LnhtbE2Py07DMBBF90j8gzVIbBC1W0pKQ5yKh1CBHYUPcONpksYe&#10;R7H7+nsGsYDl1T26c6ZYHL0TexxiG0jDeKRAIFXBtlRr+Pp8ub4DEZMha1wg1HDCCIvy/KwwuQ0H&#10;+sD9KtWCRyjmRkOTUp9LGasGvYmj0CNxtwmDN4njUEs7mAOPeycnSmXSm5b4QmN6fGqw6lY7r2Gz&#10;fcsep9X2fRlP/up1/tCFZ9dpfXkxVvcgEh7THww/+qwOJTutw45sFE7D5EbNGdVwOwPB/W9eM5hN&#10;ZyDLQv7/oPwGUEsDBBQAAAAIAIdO4kBWjmz5EQIAAOwDAAAOAAAAZHJzL2Uyb0RvYy54bWytU82O&#10;0zAQviPxDpbvNGmrDd2o6R5alguCSrAP4DpOYsl/Gnub9iV4ASROwAk47Z2ngeUxGDuhC8tlD+Tg&#10;jD2eb+b7PLO8OGhF9gK8tKai00lOiTDc1tK0Fb16c/lkQYkPzNRMWSMqehSeXqweP1r2rhQz21lV&#10;CyAIYnzZu4p2IbgyyzzvhGZ+Yp0w6GwsaBZwC21WA+sRXatsludF1luoHVguvMfTzeCkIyI8BNA2&#10;jeRiY/m1FiYMqCAUC0jJd9J5ukrVNo3g4VXTeBGIqigyDWnFJGjv4pqtlqxsgblO8rEE9pAS7nHS&#10;TBpMeoLasMDINch/oLTkYL1twoRbnQ1EkiLIYprf0+Z1x5xIXFBq706i+/8Hy1/ut0BkXdHZU0oM&#10;0/jit+9ufrz9ePv1y/cPNz+/vY/2508E/ShW73yJMWuzhXHn3RYi80MDOv6REzkg3LwokBElx4qe&#10;FYvFfD6KLQ6BcLyALo6+aZ6fF2fJl92BOPDhubCaRKOiPgCTbRfW1hh8UgvTJDbbv/ABy8DA3wGx&#10;AmMvpVLpZZUhfUWLOSYgnGG3NtglaGqHjL1pKWGqxTHgARKit0rWMTrieGh3awVkz2LzpC9KgNn+&#10;uhZTb5jvhnvJNbSVlgEnRUld0cUpmpWBSfXM1CQcHYrNAGw/wiqD6FHhQdNo7Wx9TFKnc2yClH9s&#10;2Nhlf+5T9N2Qr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qOzntcAAAAJAQAADwAAAAAAAAAB&#10;ACAAAAAiAAAAZHJzL2Rvd25yZXYueG1sUEsBAhQAFAAAAAgAh07iQFaObPkRAgAA7AMAAA4AAAAA&#10;AAAAAQAgAAAAJgEAAGRycy9lMm9Eb2MueG1sUEsFBgAAAAAGAAYAWQEAAKkFAAAAAA==&#10;">
                <v:fill on="f" focussize="0,0"/>
                <v:stroke weight="0.5pt" color="#000000 [3213]" miterlimit="8" joinstyle="miter" endarrow="open"/>
                <v:imagedata o:title=""/>
                <o:lock v:ext="edit" aspectratio="f"/>
              </v:shape>
            </w:pict>
          </mc:Fallback>
        </mc:AlternateContent>
      </w:r>
    </w:p>
    <w:p>
      <w:pPr>
        <w:spacing w:line="340" w:lineRule="exact"/>
        <w:ind w:firstLine="2249" w:firstLineChars="800"/>
        <w:rPr>
          <w:b/>
          <w:bCs/>
          <w:sz w:val="28"/>
          <w:szCs w:val="28"/>
        </w:rPr>
      </w:pPr>
    </w:p>
    <w:p>
      <w:pPr>
        <w:spacing w:line="340" w:lineRule="exact"/>
        <w:ind w:firstLine="2240" w:firstLineChars="800"/>
        <w:rPr>
          <w:b/>
          <w:bCs/>
          <w:sz w:val="28"/>
          <w:szCs w:val="28"/>
        </w:rPr>
      </w:pPr>
      <w:r>
        <w:rPr>
          <w:sz w:val="28"/>
        </w:rPr>
        <mc:AlternateContent>
          <mc:Choice Requires="wps">
            <w:drawing>
              <wp:anchor distT="0" distB="0" distL="114300" distR="114300" simplePos="0" relativeHeight="251673600" behindDoc="0" locked="0" layoutInCell="1" allowOverlap="1">
                <wp:simplePos x="0" y="0"/>
                <wp:positionH relativeFrom="column">
                  <wp:posOffset>2094865</wp:posOffset>
                </wp:positionH>
                <wp:positionV relativeFrom="paragraph">
                  <wp:posOffset>38735</wp:posOffset>
                </wp:positionV>
                <wp:extent cx="2476500" cy="9525"/>
                <wp:effectExtent l="0" t="0" r="0" b="0"/>
                <wp:wrapNone/>
                <wp:docPr id="31" name="直接连接符 31"/>
                <wp:cNvGraphicFramePr/>
                <a:graphic xmlns:a="http://schemas.openxmlformats.org/drawingml/2006/main">
                  <a:graphicData uri="http://schemas.microsoft.com/office/word/2010/wordprocessingShape">
                    <wps:wsp>
                      <wps:cNvCnPr/>
                      <wps:spPr>
                        <a:xfrm flipV="1">
                          <a:off x="2994660" y="6132195"/>
                          <a:ext cx="247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4.95pt;margin-top:3.05pt;height:0.75pt;width:195pt;z-index:251673600;mso-width-relative:page;mso-height-relative:page;" filled="f" stroked="t" coordsize="21600,21600" o:gfxdata="UEsDBAoAAAAAAIdO4kAAAAAAAAAAAAAAAAAEAAAAZHJzL1BLAwQUAAAACACHTuJAHu/tmNQAAAAH&#10;AQAADwAAAGRycy9kb3ducmV2LnhtbE2OwU7DMBBE70j8g7VI3KjjFgUc4lQUCbghtaV3N16SqPE6&#10;xE5b/p7tCW4zmtHMK5dn34sjjrELZEDNMhBIdXAdNQY+t693jyBisuRsHwgN/GCEZXV9VdrChROt&#10;8bhJjeARioU10KY0FFLGukVv4ywMSJx9hdHbxHZspBvticd9L+dZlktvO+KH1g740mJ92EzewGqr&#10;F29uN70fPvQ9Pq+0itP3zpjbG5U9gUh4Tn9luOAzOlTMtA8TuSh6A4u51lw1kCsQnD+oi9+zyEFW&#10;pfzPX/0CUEsDBBQAAAAIAIdO4kBurgld/AEAAMwDAAAOAAAAZHJzL2Uyb0RvYy54bWytU81uEzEQ&#10;viPxDpbvZHeTJjSrbHpoVC4IIgG9O15715L/5HGzyUvwAkjc4MSRO29DeQzG3rSUcumBPVhjz+dv&#10;5vs8u7o4GE32IoBytqHVpKREWO5aZbuGfnh/9eKcEojMtkw7Kxp6FEAv1s+frQZfi6nrnW5FIEhi&#10;oR58Q/sYfV0UwHthGEycFxaT0gXDIm5DV7SBDchudDEty0UxuND64LgAwNPNmKQnxvAUQiel4mLj&#10;+I0RNo6sQWgWURL0ygNd526lFDy+lRJEJLqhqDTmFYtgvEtrsV6xugvM94qfWmBPaeGRJsOUxaL3&#10;VBsWGbkJ6h8qo3hw4GSccGeKUUh2BFVU5SNv3vXMi6wFrQZ/bzr8P1r+Zr8NRLUNnVWUWGbwxW8/&#10;ff/58cuvH59xvf32lWAGbRo81Ii+tNtw2oHfhqT5IIMhUit/jfOUXUBd5NDQ6XJ5tlig1ceGLqrZ&#10;tFrOR8PFIRKeAGcvF/MSARwRy/k0p4uRMTH7APGVcIakoKFa2WQHq9n+NUTsAqF3kHRs3ZXSOj+p&#10;tmTAorN5Imc4phLHA0PjUSrYjhKmO5x/HkNmBKdVm24nHgjd7lIHsmdpavKX+sZqf8FS6Q2DfsTl&#10;1CjPqIi/iFamoecPb2uLJMnH0bkU7Vx7zIbmc3zkXOY0kGmKHu7z7T8/4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u/tmNQAAAAHAQAADwAAAAAAAAABACAAAAAiAAAAZHJzL2Rvd25yZXYueG1s&#10;UEsBAhQAFAAAAAgAh07iQG6uCV38AQAAzAMAAA4AAAAAAAAAAQAgAAAAIwEAAGRycy9lMm9Eb2Mu&#10;eG1sUEsFBgAAAAAGAAYAWQEAAJEFAAAAAA==&#10;">
                <v:fill on="f" focussize="0,0"/>
                <v:stroke weight="0.5pt" color="#000000 [3213]" miterlimit="8" joinstyle="miter"/>
                <v:imagedata o:title=""/>
                <o:lock v:ext="edit" aspectratio="f"/>
              </v:lin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4538345</wp:posOffset>
                </wp:positionH>
                <wp:positionV relativeFrom="paragraph">
                  <wp:posOffset>57785</wp:posOffset>
                </wp:positionV>
                <wp:extent cx="4445" cy="552450"/>
                <wp:effectExtent l="4445" t="0" r="10160" b="0"/>
                <wp:wrapNone/>
                <wp:docPr id="32" name="直接连接符 32"/>
                <wp:cNvGraphicFramePr/>
                <a:graphic xmlns:a="http://schemas.openxmlformats.org/drawingml/2006/main">
                  <a:graphicData uri="http://schemas.microsoft.com/office/word/2010/wordprocessingShape">
                    <wps:wsp>
                      <wps:cNvCnPr>
                        <a:endCxn id="30" idx="0"/>
                      </wps:cNvCnPr>
                      <wps:spPr>
                        <a:xfrm flipH="1">
                          <a:off x="5499735" y="6132195"/>
                          <a:ext cx="4445"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57.35pt;margin-top:4.55pt;height:43.5pt;width:0.35pt;z-index:251674624;mso-width-relative:page;mso-height-relative:page;" filled="f" stroked="t" coordsize="21600,21600" o:gfxdata="UEsDBAoAAAAAAIdO4kAAAAAAAAAAAAAAAAAEAAAAZHJzL1BLAwQUAAAACACHTuJANld3x9YAAAAI&#10;AQAADwAAAGRycy9kb3ducmV2LnhtbE2PwU7DMBBE70j8g7VI3KhjCA1J41QUCbhVoqV3N94mUeN1&#10;iJ22/D3LCY6jGc28KZcX14sTjqHzpEHNEhBItbcdNRo+t693TyBCNGRN7wk1fGOAZXV9VZrC+jN9&#10;4GkTG8ElFAqjoY1xKKQMdYvOhJkfkNg7+NGZyHJspB3NmctdL++TZC6d6YgXWjPgS4v1cTM5Datt&#10;/vBmd9P7cZ2n+LzKVZi+dlrf3qhkASLiJf6F4Ref0aFipr2fyAbRa8hUmnFUQ65AsJ+pxxTEnvVc&#10;gaxK+f9A9QNQSwMEFAAAAAgAh07iQGOirrEMAgAA8wMAAA4AAABkcnMvZTJvRG9jLnhtbK1TS44T&#10;MRDdI3EHy3vS+fUwaaUzi0QDCwSRYA7guO1uS/7J5Uknl+ACSOxgxZI9t2E4BmV35stmFvTCcnVV&#10;var3qry8OBhN9iKAcramk9GYEmG5a5Rta3r16fLVOSUQmW2YdlbU9CiAXqxevlj2vhJT1zndiEAQ&#10;xELV+5p2MfqqKIB3wjAYOS8sOqULhkU0Q1s0gfWIbnQxHY/Pit6FxgfHBQD+3QxOekIMzwF0Uiou&#10;No5fG2HjgBqEZhEpQac80FXuVkrB4wcpQUSia4pMYz6xCN536SxWS1a1gflO8VML7DktPOFkmLJY&#10;9A5qwyIj10H9A2UUDw6cjCPuTDEQyYogi8n4iTYfO+ZF5oJSg78THf4fLH+/3waimprOppRYZnDi&#10;N19+/v787c+vr3je/PhO0IMy9R4qjF7bbUhEhW3WBztkopiqOZzkLB4FJgP8kHKQwRCplX+Le5fV&#10;Qv4E88r5YvF6VlJyrOnZZDadLMphMOIQCceA+XyOXo7uspzOyzy2glUJMPXiA8Q3whmSLjXVyibV&#10;WMX27yBi6xh6G5J+W3eptM6T15b0WHOGkIQz3GaJW4RX41ERsC0lTLf4THgMGRGcVk3KTjgQ2t1a&#10;B7Jnabnyl9rGao/CUukNg26Iy66BnVERX5JWpqbnD7O1RZB74dJt55rjNiTwZOEu5DKnvU3L9tDO&#10;UfdvdfU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ld3x9YAAAAIAQAADwAAAAAAAAABACAAAAAi&#10;AAAAZHJzL2Rvd25yZXYueG1sUEsBAhQAFAAAAAgAh07iQGOirrEMAgAA8wMAAA4AAAAAAAAAAQAg&#10;AAAAJQEAAGRycy9lMm9Eb2MueG1sUEsFBgAAAAAGAAYAWQEAAKMFAAAAAA==&#10;">
                <v:fill on="f" focussize="0,0"/>
                <v:stroke weight="0.5pt" color="#000000 [3213]" miterlimit="8" joinstyle="miter"/>
                <v:imagedata o:title=""/>
                <o:lock v:ext="edit" aspectratio="f"/>
              </v:line>
            </w:pict>
          </mc:Fallback>
        </mc:AlternateContent>
      </w:r>
    </w:p>
    <w:p>
      <w:pPr>
        <w:spacing w:line="360" w:lineRule="auto"/>
        <w:ind w:firstLine="640" w:firstLineChars="200"/>
        <w:rPr>
          <w:rFonts w:ascii="仿宋" w:hAnsi="仿宋" w:eastAsia="仿宋" w:cs="宋体"/>
          <w:sz w:val="32"/>
          <w:szCs w:val="32"/>
        </w:rPr>
      </w:pPr>
      <w:bookmarkStart w:id="102" w:name="_Toc11762"/>
      <w:r>
        <w:rPr>
          <w:sz w:val="32"/>
        </w:rPr>
        <mc:AlternateContent>
          <mc:Choice Requires="wps">
            <w:drawing>
              <wp:anchor distT="0" distB="0" distL="114300" distR="114300" simplePos="0" relativeHeight="251672576" behindDoc="0" locked="0" layoutInCell="1" allowOverlap="1">
                <wp:simplePos x="0" y="0"/>
                <wp:positionH relativeFrom="column">
                  <wp:posOffset>3199765</wp:posOffset>
                </wp:positionH>
                <wp:positionV relativeFrom="paragraph">
                  <wp:posOffset>394335</wp:posOffset>
                </wp:positionV>
                <wp:extent cx="2677160" cy="628650"/>
                <wp:effectExtent l="6350" t="6350" r="21590" b="12700"/>
                <wp:wrapNone/>
                <wp:docPr id="30" name="圆角矩形 30"/>
                <wp:cNvGraphicFramePr/>
                <a:graphic xmlns:a="http://schemas.openxmlformats.org/drawingml/2006/main">
                  <a:graphicData uri="http://schemas.microsoft.com/office/word/2010/wordprocessingShape">
                    <wps:wsp>
                      <wps:cNvSpPr/>
                      <wps:spPr>
                        <a:xfrm>
                          <a:off x="0" y="0"/>
                          <a:ext cx="2677160" cy="6286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灾害发生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1.95pt;margin-top:31.05pt;height:49.5pt;width:210.8pt;z-index:251672576;v-text-anchor:middle;mso-width-relative:page;mso-height-relative:page;" fillcolor="#FFFFFF [3212]" filled="t" stroked="t" coordsize="21600,21600" arcsize="0.166666666666667" o:gfxdata="UEsDBAoAAAAAAIdO4kAAAAAAAAAAAAAAAAAEAAAAZHJzL1BLAwQUAAAACACHTuJAp22NmtgAAAAK&#10;AQAADwAAAGRycy9kb3ducmV2LnhtbE2PwU7DMBBE70j8g7VI3KjjVAk0jdNDJSSQeqFF4urGbhxh&#10;r4PttuHvWU5wXM3TzNt2M3vHLiamMaAEsSiAGeyDHnGQ8H54fngClrJCrVxAI+HbJNh0tzetanS4&#10;4pu57PPAqARToyTYnKeG89Rb41VahMkgZacQvcp0xoHrqK5U7h0vi6LmXo1IC1ZNZmtN/7k/ewkx&#10;z+JxdvYLq/zit6/97oMvd1Le34liDSybOf/B8KtP6tCR0zGcUSfmJFTFckWohLoUwAhYlVUF7Ehk&#10;LQTwruX/X+h+AFBLAwQUAAAACACHTuJA8ibr7IcCAAAMBQAADgAAAGRycy9lMm9Eb2MueG1srVTN&#10;bhMxEL4j8Q6W73ST0CYl6qaKGgUhVbSiIM6O15u15D9s56c8AA/AuRISF8RD8DgVPAafvds2LT30&#10;wB68M57xNzOfZ3x0vNWKrIUP0pqS9vd6lAjDbSXNsqQf3s9fHFISIjMVU9aIkl6KQI8nz58dbdxY&#10;DGxjVSU8AYgJ440raROjGxdF4I3QLOxZJwyMtfWaRah+WVSebYCuVTHo9YbFxvrKectFCNidtUba&#10;IfqnANq6llzMLF9pYWKL6oViESWFRrpAJznbuhY8ntV1EJGokqLSmFcEgbxIazE5YuOlZ66RvEuB&#10;PSWFBzVpJg2C3kLNWGRk5eU/UFpyb4Ot4x63umgLyYygin7vATcXDXMi1wKqg7slPfw/WP52fe6J&#10;rEr6EpQYpnHj11df/vz4+vvbz+tf3wm2wdHGhTFcL9y577QAMRW8rb1Of5RCtpnXy1texTYSjs3B&#10;cDTqD4HPYRsODocHGbS4O+18iK+F1SQJJfV2Zap3uLzMKVufhoiw8L/xSxGDVbKaS6Wy4peLE+XJ&#10;muGi5/lLeePIPTdlyAZNPxj1UjYM7VujbSBqBwqCWVLC1BJzwaPPse+dDrtBevl7LEhKcsZC0yaT&#10;EZIbG2sZMTpK6pIe7p5WBpkmiltSkxS3i23H9MJWl7gjb9vmDY7PJSKcshDPmUe3ohTMczzDUiuL&#10;+mwnUdJY//mx/eSPJoKVkg26H7V/WjEvKFFvDNrrVX9/H7AxK/sHowEUv2tZ7FrMSp9Y8N7Hy+F4&#10;FpN/VDdi7a3+iLGfpqgwMcMRu2W5U05iO5V4OLiYTrMbRsSxeGouHE/giUJjp6toa5n7IRHVstPx&#10;hyHJd94NdJrCXT173T1ik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nbY2a2AAAAAoBAAAPAAAA&#10;AAAAAAEAIAAAACIAAABkcnMvZG93bnJldi54bWxQSwECFAAUAAAACACHTuJA8ibr7IcCAAAMBQAA&#10;DgAAAAAAAAABACAAAAAnAQAAZHJzL2Uyb0RvYy54bWxQSwUGAAAAAAYABgBZAQAAIAYAAAAA&#10;">
                <v:fill on="t"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灾害发生</w:t>
                      </w:r>
                    </w:p>
                  </w:txbxContent>
                </v:textbox>
              </v:roundrect>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-95885</wp:posOffset>
                </wp:positionH>
                <wp:positionV relativeFrom="paragraph">
                  <wp:posOffset>394335</wp:posOffset>
                </wp:positionV>
                <wp:extent cx="2649220" cy="628650"/>
                <wp:effectExtent l="6350" t="6350" r="11430" b="12700"/>
                <wp:wrapNone/>
                <wp:docPr id="28" name="圆角矩形 28"/>
                <wp:cNvGraphicFramePr/>
                <a:graphic xmlns:a="http://schemas.openxmlformats.org/drawingml/2006/main">
                  <a:graphicData uri="http://schemas.microsoft.com/office/word/2010/wordprocessingShape">
                    <wps:wsp>
                      <wps:cNvSpPr/>
                      <wps:spPr>
                        <a:xfrm>
                          <a:off x="880110" y="6770370"/>
                          <a:ext cx="2649220" cy="6286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通知成员单位及受灾区政府，同时向区减灾委主任、副主任、市减灾委报告。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55pt;margin-top:31.05pt;height:49.5pt;width:208.6pt;z-index:251670528;v-text-anchor:middle;mso-width-relative:page;mso-height-relative:page;" fillcolor="#FFFFFF [3212]" filled="t" stroked="t" coordsize="21600,21600" arcsize="0.166666666666667" o:gfxdata="UEsDBAoAAAAAAIdO4kAAAAAAAAAAAAAAAAAEAAAAZHJzL1BLAwQUAAAACACHTuJAaf/jodYAAAAK&#10;AQAADwAAAGRycy9kb3ducmV2LnhtbE2PwU7DMAyG70i8Q2QkbluSwQrqmu4wCQmkXdiQuGZN1lQk&#10;Tkmyrbw93glOtuVPvz836yl4drYpDxEVyLkAZrGLZsBewcf+ZfYMLBeNRvuIVsGPzbBub28aXZt4&#10;wXd73pWeUQjmWitwpYw157lzNug8j6NF2h1jCrrQmHpukr5QePB8IUTFgx6QLjg92o2z3dfuFBSk&#10;MsmnybtvXJbXsHnrtp/8YavU/Z0UK2DFTuUPhqs+qUNLTod4QpOZVzCTS0mogmpBlYBHcW0ORFZS&#10;Am8b/v+F9hdQSwMEFAAAAAgAh07iQNRl47STAgAAFwUAAA4AAABkcnMvZTJvRG9jLnhtbK1Uy24T&#10;MRTdI/EPlvd0JiFN0qiTKmoUhFTRioJYOx5PZiS/sJ1H+QA+gDUSEhvER/A5FXwGx55pm5YuumAW&#10;nmvf4/s4914fn+yUJBvhfGN0QXsHOSVCc1M2elXQ9+8WL8aU+MB0yaTRoqBXwtOT6fNnx1s7EX1T&#10;G1kKR2BE+8nWFrQOwU6yzPNaKOYPjBUayso4xQK2bpWVjm1hXcmsn+fDbGtcaZ3hwnuczlsl7Sy6&#10;pxg0VdVwMTd8rYQOrVUnJAtIydeN9XSaoq0qwcN5VXkRiCwoMg1phRPIy7hm02M2WTlm64Z3IbCn&#10;hPAgJ8UaDae3puYsMLJ2zT+mVMOd8aYKB9yorE0kMYIsevkDbi5rZkXKBVR7e0u6/39m+ZvNhSNN&#10;WdA+6q6ZQsWvv37+8+PL728/r399JzgGR1vrJ4Be2gvX7TzEmPCucir+kQrZFXQ8zns9kHtV0OFo&#10;lL8cdRSLXSAc+v5wcNTvA8Ajoj8eHiZAdmfIOh9eCaNIFArqzFqXb1HHRC/bnPmACIC/wUXn3sim&#10;XDRSpo1bLU+lIxuGmi/SF1PAlXswqckW/d8f5TEahk6u0EEQlQUbXq8oYXKFEeHBJd/3bvt9J3n6&#10;HnMSg5wzX7fBJAsRxiaqCZgi2ShQtn9bakQa2W75jVLYLXcd6UtTXqFczrR97C1fNPBwxny4YA6N&#10;i1Qw2uEcSyUN8jOdRElt3KfHziMe/QQtJVsMAnL/uGZOUCJfa3TaUW8wgNmQNoPDUSye29cs9zV6&#10;rU4NeO/hEbE8iREf5I1YOaM+4AWYRa9QMc3hu2W525yGdkDxhnAxmyUYpsWycKYvLY/GI4XazNbB&#10;VE3qh0hUy07HH+Yl1byb7TiQ+/uEunvP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af/jodYA&#10;AAAKAQAADwAAAAAAAAABACAAAAAiAAAAZHJzL2Rvd25yZXYueG1sUEsBAhQAFAAAAAgAh07iQNRl&#10;47STAgAAFwUAAA4AAAAAAAAAAQAgAAAAJQEAAGRycy9lMm9Eb2MueG1sUEsFBgAAAAAGAAYAWQEA&#10;ACoGAAAAAA==&#10;">
                <v:fill on="t" focussize="0,0"/>
                <v:stroke weight="1pt" color="#000000 [3213]" miterlimit="8" joinstyle="miter"/>
                <v:imagedata o:title=""/>
                <o:lock v:ext="edit" aspectratio="f"/>
                <v:textbox>
                  <w:txbxContent>
                    <w:p>
                      <w:pPr>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通知成员单位及受灾区政府，同时向区减灾委主任、副主任、市减灾委报告。</w:t>
                      </w:r>
                    </w:p>
                  </w:txbxContent>
                </v:textbox>
              </v:roundrect>
            </w:pict>
          </mc:Fallback>
        </mc:AlternateContent>
      </w: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spacing w:line="360" w:lineRule="auto"/>
        <w:ind w:firstLine="640" w:firstLineChars="200"/>
        <w:rPr>
          <w:rFonts w:ascii="仿宋" w:hAnsi="仿宋" w:eastAsia="仿宋" w:cs="宋体"/>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方正小标宋简体" w:hAnsi="等线" w:eastAsia="方正小标宋简体" w:cs="宋体"/>
          <w:color w:val="000000"/>
          <w:kern w:val="0"/>
          <w:sz w:val="32"/>
          <w:szCs w:val="32"/>
        </w:rPr>
      </w:pPr>
      <w:bookmarkStart w:id="103" w:name="_Toc1602"/>
      <w:bookmarkStart w:id="104" w:name="_Toc5788"/>
      <w:bookmarkStart w:id="105" w:name="_Toc23511"/>
      <w:bookmarkStart w:id="106" w:name="_Toc23445"/>
      <w:r>
        <w:rPr>
          <w:rStyle w:val="13"/>
          <w:rFonts w:hint="eastAsia"/>
        </w:rPr>
        <w:t>附件2</w:t>
      </w:r>
      <w:bookmarkEnd w:id="103"/>
      <w:bookmarkEnd w:id="104"/>
      <w:bookmarkStart w:id="107" w:name="_Toc24905"/>
      <w:bookmarkStart w:id="108" w:name="_Toc30905"/>
      <w:bookmarkStart w:id="109" w:name="_Toc18526"/>
      <w:bookmarkStart w:id="110" w:name="_Toc30359"/>
      <w:r>
        <w:rPr>
          <w:rStyle w:val="13"/>
          <w:rFonts w:hint="eastAsia"/>
        </w:rPr>
        <w:t>灾情信息报告主要指标</w:t>
      </w:r>
      <w:bookmarkEnd w:id="105"/>
      <w:bookmarkEnd w:id="107"/>
      <w:bookmarkEnd w:id="108"/>
      <w:bookmarkEnd w:id="109"/>
      <w:bookmarkEnd w:id="110"/>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灾害损失情况包括以下主要指标：受灾人口、因灾死亡人口、因灾失踪人口、因灾伤病人口、紧急转移安置人口或需紧急生活救助人口、饮水困难人口；农作物受灾面积、成灾面积、绝收面积、毁坏耕地面积；毁坏农业设施面积；因灾死亡畜禽数量、受伤畜禽数量；倒塌房屋户数、间数，损坏（分严重和一般）房屋户数、间数；直接经济损失、农业直接经济损失。</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因灾需救助情况包括以下主要指标：需口粮救助人口；需衣被救助人口；需取暖救助人口；需其他生活救助人口；需重建和维修住房户数、间数。</w:t>
      </w:r>
    </w:p>
    <w:p>
      <w:pPr>
        <w:spacing w:line="360" w:lineRule="auto"/>
        <w:ind w:firstLine="600" w:firstLineChars="200"/>
        <w:rPr>
          <w:rFonts w:ascii="仿宋" w:hAnsi="仿宋" w:eastAsia="仿宋" w:cs="宋体"/>
          <w:szCs w:val="32"/>
        </w:rPr>
      </w:pPr>
      <w:r>
        <w:rPr>
          <w:rFonts w:hint="eastAsia" w:ascii="仿宋" w:hAnsi="仿宋" w:eastAsia="仿宋" w:cs="仿宋"/>
          <w:sz w:val="30"/>
          <w:szCs w:val="30"/>
        </w:rPr>
        <w:t>因灾已救助情况包括以下主要指标：投亲靠友人口数量、借住公房人口数量、搭建救灾帐篷和简易棚人口数量；已安排口粮救助人口；已安排衣被救助人口；已安排取暖救助人口、其他已安排政府生活救助人口；已安排恢复重建补助款；已恢复住房户数、间数。</w:t>
      </w: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rPr>
          <w:rFonts w:ascii="仿宋" w:hAnsi="仿宋" w:eastAsia="仿宋" w:cs="宋体"/>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Style w:val="13"/>
          <w:rFonts w:hint="eastAsia"/>
        </w:rPr>
      </w:pPr>
      <w:bookmarkStart w:id="111" w:name="_Toc10686"/>
      <w:bookmarkStart w:id="112" w:name="_Toc4060"/>
      <w:r>
        <w:rPr>
          <w:rStyle w:val="13"/>
          <w:rFonts w:hint="eastAsia"/>
          <w:lang w:val="en-US"/>
        </w:rPr>
        <w:t>附件3</w:t>
      </w:r>
      <w:bookmarkEnd w:id="111"/>
      <w:bookmarkStart w:id="113" w:name="_Toc31739"/>
      <w:r>
        <w:rPr>
          <w:rStyle w:val="13"/>
          <w:rFonts w:hint="eastAsia"/>
        </w:rPr>
        <w:t>名词术语</w:t>
      </w:r>
      <w:bookmarkEnd w:id="113"/>
    </w:p>
    <w:bookmarkEnd w:id="112"/>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本预案所称灾害主要包括热带气旋、干旱、洪涝、高温等气象灾害，地震、</w:t>
      </w:r>
      <w:r>
        <w:fldChar w:fldCharType="begin"/>
      </w:r>
      <w:r>
        <w:instrText xml:space="preserve"> HYPERLINK "https://baike.baidu.com/item/%E6%B5%B7%E5%95%B8/6151" \t "_blank" </w:instrText>
      </w:r>
      <w:r>
        <w:fldChar w:fldCharType="separate"/>
      </w:r>
      <w:r>
        <w:rPr>
          <w:rFonts w:ascii="仿宋" w:hAnsi="仿宋" w:eastAsia="仿宋" w:cs="宋体"/>
          <w:sz w:val="32"/>
          <w:szCs w:val="32"/>
        </w:rPr>
        <w:t>海啸</w:t>
      </w:r>
      <w:r>
        <w:rPr>
          <w:rFonts w:ascii="仿宋" w:hAnsi="仿宋" w:eastAsia="仿宋" w:cs="宋体"/>
          <w:sz w:val="32"/>
          <w:szCs w:val="32"/>
        </w:rPr>
        <w:fldChar w:fldCharType="end"/>
      </w:r>
      <w:r>
        <w:rPr>
          <w:rFonts w:ascii="仿宋" w:hAnsi="仿宋" w:eastAsia="仿宋" w:cs="宋体"/>
          <w:sz w:val="32"/>
          <w:szCs w:val="32"/>
        </w:rPr>
        <w:t>、</w:t>
      </w:r>
      <w:r>
        <w:rPr>
          <w:rFonts w:hint="eastAsia" w:ascii="仿宋" w:hAnsi="仿宋" w:eastAsia="仿宋" w:cs="宋体"/>
          <w:sz w:val="32"/>
          <w:szCs w:val="32"/>
        </w:rPr>
        <w:t>崩塌、滑坡、泥石流等地质灾害，森林火灾、生物灾害和动物疫病等。</w:t>
      </w:r>
    </w:p>
    <w:p>
      <w:pPr>
        <w:spacing w:line="360" w:lineRule="auto"/>
        <w:ind w:firstLine="643" w:firstLineChars="200"/>
        <w:rPr>
          <w:rFonts w:ascii="仿宋" w:hAnsi="仿宋" w:eastAsia="仿宋" w:cs="宋体"/>
          <w:sz w:val="32"/>
          <w:szCs w:val="32"/>
        </w:rPr>
      </w:pPr>
      <w:r>
        <w:rPr>
          <w:rFonts w:ascii="仿宋" w:hAnsi="仿宋" w:eastAsia="仿宋" w:cs="宋体"/>
          <w:b/>
          <w:bCs/>
          <w:sz w:val="32"/>
          <w:szCs w:val="32"/>
        </w:rPr>
        <w:t>热带气旋</w:t>
      </w:r>
      <w:r>
        <w:rPr>
          <w:rFonts w:hint="eastAsia" w:ascii="仿宋" w:hAnsi="仿宋" w:eastAsia="仿宋" w:cs="宋体"/>
          <w:b/>
          <w:bCs/>
          <w:sz w:val="32"/>
          <w:szCs w:val="32"/>
        </w:rPr>
        <w:t>：</w:t>
      </w:r>
      <w:r>
        <w:rPr>
          <w:rFonts w:hint="eastAsia" w:ascii="仿宋" w:hAnsi="仿宋" w:eastAsia="仿宋" w:cs="宋体"/>
          <w:sz w:val="32"/>
          <w:szCs w:val="32"/>
        </w:rPr>
        <w:t>指</w:t>
      </w:r>
      <w:r>
        <w:rPr>
          <w:rFonts w:ascii="仿宋" w:hAnsi="仿宋" w:eastAsia="仿宋" w:cs="宋体"/>
          <w:sz w:val="32"/>
          <w:szCs w:val="32"/>
        </w:rPr>
        <w:t>发生在热带或副热带洋面上的低压涡旋，是一种强大而深厚的热带天气系统。热带气旋</w:t>
      </w:r>
      <w:r>
        <w:rPr>
          <w:rFonts w:hint="eastAsia" w:ascii="仿宋" w:hAnsi="仿宋" w:eastAsia="仿宋" w:cs="宋体"/>
          <w:sz w:val="32"/>
          <w:szCs w:val="32"/>
        </w:rPr>
        <w:t>包括</w:t>
      </w:r>
      <w:r>
        <w:rPr>
          <w:rFonts w:ascii="仿宋" w:hAnsi="仿宋" w:eastAsia="仿宋" w:cs="宋体"/>
          <w:sz w:val="32"/>
          <w:szCs w:val="32"/>
        </w:rPr>
        <w:t>台风</w:t>
      </w:r>
      <w:r>
        <w:rPr>
          <w:rFonts w:hint="eastAsia" w:ascii="仿宋" w:hAnsi="仿宋" w:eastAsia="仿宋" w:cs="宋体"/>
          <w:sz w:val="32"/>
          <w:szCs w:val="32"/>
        </w:rPr>
        <w:t>、</w:t>
      </w:r>
      <w:r>
        <w:fldChar w:fldCharType="begin"/>
      </w:r>
      <w:r>
        <w:instrText xml:space="preserve"> HYPERLINK "https://baike.baidu.com/item/%E9%A3%93%E9%A3%8E/17274" \t "_blank" </w:instrText>
      </w:r>
      <w:r>
        <w:fldChar w:fldCharType="separate"/>
      </w:r>
      <w:r>
        <w:rPr>
          <w:rFonts w:ascii="仿宋" w:hAnsi="仿宋" w:eastAsia="仿宋" w:cs="宋体"/>
          <w:sz w:val="32"/>
          <w:szCs w:val="32"/>
        </w:rPr>
        <w:t>飓风</w:t>
      </w:r>
      <w:r>
        <w:rPr>
          <w:rFonts w:ascii="仿宋" w:hAnsi="仿宋" w:eastAsia="仿宋" w:cs="宋体"/>
          <w:sz w:val="32"/>
          <w:szCs w:val="32"/>
        </w:rPr>
        <w:fldChar w:fldCharType="end"/>
      </w:r>
      <w:r>
        <w:rPr>
          <w:rFonts w:hint="eastAsia" w:ascii="仿宋" w:hAnsi="仿宋" w:eastAsia="仿宋" w:cs="宋体"/>
          <w:sz w:val="32"/>
          <w:szCs w:val="32"/>
        </w:rPr>
        <w:t>、</w:t>
      </w:r>
      <w:r>
        <w:rPr>
          <w:rFonts w:ascii="仿宋" w:hAnsi="仿宋" w:eastAsia="仿宋" w:cs="宋体"/>
          <w:sz w:val="32"/>
          <w:szCs w:val="32"/>
        </w:rPr>
        <w:t>气旋风暴</w:t>
      </w:r>
      <w:r>
        <w:rPr>
          <w:rFonts w:hint="eastAsia" w:ascii="仿宋" w:hAnsi="仿宋" w:eastAsia="仿宋" w:cs="宋体"/>
          <w:sz w:val="32"/>
          <w:szCs w:val="32"/>
        </w:rPr>
        <w:t>。</w:t>
      </w:r>
    </w:p>
    <w:p>
      <w:pPr>
        <w:spacing w:line="360" w:lineRule="auto"/>
        <w:ind w:firstLine="643" w:firstLineChars="200"/>
        <w:rPr>
          <w:rFonts w:ascii="仿宋" w:hAnsi="仿宋" w:eastAsia="仿宋" w:cs="宋体"/>
          <w:sz w:val="32"/>
          <w:szCs w:val="32"/>
        </w:rPr>
      </w:pPr>
      <w:r>
        <w:rPr>
          <w:rFonts w:ascii="仿宋" w:hAnsi="仿宋" w:eastAsia="仿宋" w:cs="宋体"/>
          <w:b/>
          <w:bCs/>
          <w:sz w:val="32"/>
          <w:szCs w:val="32"/>
        </w:rPr>
        <w:t>洪涝</w:t>
      </w:r>
      <w:r>
        <w:rPr>
          <w:rFonts w:hint="eastAsia" w:ascii="仿宋" w:hAnsi="仿宋" w:eastAsia="仿宋" w:cs="宋体"/>
          <w:sz w:val="32"/>
          <w:szCs w:val="32"/>
        </w:rPr>
        <w:t>：</w:t>
      </w:r>
      <w:r>
        <w:rPr>
          <w:rFonts w:ascii="仿宋" w:hAnsi="仿宋" w:eastAsia="仿宋" w:cs="宋体"/>
          <w:sz w:val="32"/>
          <w:szCs w:val="32"/>
        </w:rPr>
        <w:t>指因</w:t>
      </w:r>
      <w:r>
        <w:fldChar w:fldCharType="begin"/>
      </w:r>
      <w:r>
        <w:instrText xml:space="preserve"> HYPERLINK "https://baike.baidu.com/item/%E5%A4%A7%E9%9B%A8/8080" \t "_blank" </w:instrText>
      </w:r>
      <w:r>
        <w:fldChar w:fldCharType="separate"/>
      </w:r>
      <w:r>
        <w:rPr>
          <w:rFonts w:ascii="仿宋" w:hAnsi="仿宋" w:eastAsia="仿宋"/>
          <w:sz w:val="32"/>
          <w:szCs w:val="32"/>
        </w:rPr>
        <w:t>大雨</w:t>
      </w:r>
      <w:r>
        <w:rPr>
          <w:rFonts w:ascii="仿宋" w:hAnsi="仿宋" w:eastAsia="仿宋"/>
          <w:sz w:val="32"/>
          <w:szCs w:val="32"/>
        </w:rPr>
        <w:fldChar w:fldCharType="end"/>
      </w:r>
      <w:r>
        <w:rPr>
          <w:rFonts w:ascii="仿宋" w:hAnsi="仿宋" w:eastAsia="仿宋" w:cs="宋体"/>
          <w:sz w:val="32"/>
          <w:szCs w:val="32"/>
        </w:rPr>
        <w:t>、暴雨或持续降雨使低洼地区淹没、</w:t>
      </w:r>
      <w:r>
        <w:fldChar w:fldCharType="begin"/>
      </w:r>
      <w:r>
        <w:instrText xml:space="preserve"> HYPERLINK "https://baike.baidu.com/item/%E6%B8%8D%E6%B0%B4/8708719" \t "_blank" </w:instrText>
      </w:r>
      <w:r>
        <w:fldChar w:fldCharType="separate"/>
      </w:r>
      <w:r>
        <w:rPr>
          <w:rFonts w:ascii="仿宋" w:hAnsi="仿宋" w:eastAsia="仿宋"/>
          <w:sz w:val="32"/>
          <w:szCs w:val="32"/>
        </w:rPr>
        <w:t>渍水</w:t>
      </w:r>
      <w:r>
        <w:rPr>
          <w:rFonts w:ascii="仿宋" w:hAnsi="仿宋" w:eastAsia="仿宋"/>
          <w:sz w:val="32"/>
          <w:szCs w:val="32"/>
        </w:rPr>
        <w:fldChar w:fldCharType="end"/>
      </w:r>
      <w:r>
        <w:rPr>
          <w:rFonts w:ascii="仿宋" w:hAnsi="仿宋" w:eastAsia="仿宋" w:cs="宋体"/>
          <w:sz w:val="32"/>
          <w:szCs w:val="32"/>
        </w:rPr>
        <w:t>的现象。</w:t>
      </w:r>
    </w:p>
    <w:p>
      <w:pPr>
        <w:spacing w:line="360" w:lineRule="auto"/>
        <w:ind w:firstLine="643" w:firstLineChars="200"/>
        <w:rPr>
          <w:rFonts w:ascii="仿宋" w:hAnsi="仿宋" w:eastAsia="仿宋" w:cs="宋体"/>
          <w:sz w:val="32"/>
          <w:szCs w:val="32"/>
        </w:rPr>
      </w:pPr>
      <w:r>
        <w:rPr>
          <w:rFonts w:ascii="仿宋" w:hAnsi="仿宋" w:eastAsia="仿宋" w:cs="宋体"/>
          <w:b/>
          <w:bCs/>
          <w:sz w:val="32"/>
          <w:szCs w:val="32"/>
        </w:rPr>
        <w:t>地震</w:t>
      </w:r>
      <w:r>
        <w:rPr>
          <w:rFonts w:hint="eastAsia" w:ascii="仿宋" w:hAnsi="仿宋" w:eastAsia="仿宋" w:cs="宋体"/>
          <w:b/>
          <w:bCs/>
          <w:sz w:val="32"/>
          <w:szCs w:val="32"/>
        </w:rPr>
        <w:t>：</w:t>
      </w:r>
      <w:r>
        <w:rPr>
          <w:rFonts w:hint="eastAsia" w:ascii="仿宋" w:hAnsi="仿宋" w:eastAsia="仿宋" w:cs="宋体"/>
          <w:sz w:val="32"/>
          <w:szCs w:val="32"/>
        </w:rPr>
        <w:t>指</w:t>
      </w:r>
      <w:r>
        <w:fldChar w:fldCharType="begin"/>
      </w:r>
      <w:r>
        <w:instrText xml:space="preserve"> HYPERLINK "https://baike.baidu.com/item/%E5%9C%B0%E5%A3%B3/1184613" \t "_blank" </w:instrText>
      </w:r>
      <w:r>
        <w:fldChar w:fldCharType="separate"/>
      </w:r>
      <w:r>
        <w:rPr>
          <w:rFonts w:ascii="仿宋" w:hAnsi="仿宋" w:eastAsia="仿宋" w:cs="宋体"/>
          <w:sz w:val="32"/>
          <w:szCs w:val="32"/>
        </w:rPr>
        <w:t>地壳</w:t>
      </w:r>
      <w:r>
        <w:rPr>
          <w:rFonts w:ascii="仿宋" w:hAnsi="仿宋" w:eastAsia="仿宋" w:cs="宋体"/>
          <w:sz w:val="32"/>
          <w:szCs w:val="32"/>
        </w:rPr>
        <w:fldChar w:fldCharType="end"/>
      </w:r>
      <w:r>
        <w:rPr>
          <w:rFonts w:ascii="仿宋" w:hAnsi="仿宋" w:eastAsia="仿宋" w:cs="宋体"/>
          <w:sz w:val="32"/>
          <w:szCs w:val="32"/>
        </w:rPr>
        <w:t>快速释放能量过程中造成的</w:t>
      </w:r>
      <w:r>
        <w:fldChar w:fldCharType="begin"/>
      </w:r>
      <w:r>
        <w:instrText xml:space="preserve"> HYPERLINK "https://baike.baidu.com/item/%E6%8C%AF%E5%8A%A8/5801166" \t "_blank" </w:instrText>
      </w:r>
      <w:r>
        <w:fldChar w:fldCharType="separate"/>
      </w:r>
      <w:r>
        <w:rPr>
          <w:rFonts w:ascii="仿宋" w:hAnsi="仿宋" w:eastAsia="仿宋" w:cs="宋体"/>
          <w:sz w:val="32"/>
          <w:szCs w:val="32"/>
        </w:rPr>
        <w:t>振动</w:t>
      </w:r>
      <w:r>
        <w:rPr>
          <w:rFonts w:ascii="仿宋" w:hAnsi="仿宋" w:eastAsia="仿宋" w:cs="宋体"/>
          <w:sz w:val="32"/>
          <w:szCs w:val="32"/>
        </w:rPr>
        <w:fldChar w:fldCharType="end"/>
      </w:r>
      <w:r>
        <w:rPr>
          <w:rFonts w:ascii="仿宋" w:hAnsi="仿宋" w:eastAsia="仿宋" w:cs="宋体"/>
          <w:sz w:val="32"/>
          <w:szCs w:val="32"/>
          <w:highlight w:val="none"/>
        </w:rPr>
        <w:t>，期</w:t>
      </w:r>
      <w:r>
        <w:rPr>
          <w:rFonts w:ascii="仿宋" w:hAnsi="仿宋" w:eastAsia="仿宋" w:cs="宋体"/>
          <w:sz w:val="32"/>
          <w:szCs w:val="32"/>
        </w:rPr>
        <w:t>间会产生</w:t>
      </w:r>
      <w:r>
        <w:fldChar w:fldCharType="begin"/>
      </w:r>
      <w:r>
        <w:instrText xml:space="preserve"> HYPERLINK "https://baike.baidu.com/item/%E5%9C%B0%E9%9C%87%E6%B3%A2/1197740" \t "_blank" </w:instrText>
      </w:r>
      <w:r>
        <w:fldChar w:fldCharType="separate"/>
      </w:r>
      <w:r>
        <w:rPr>
          <w:rFonts w:ascii="仿宋" w:hAnsi="仿宋" w:eastAsia="仿宋" w:cs="宋体"/>
          <w:sz w:val="32"/>
          <w:szCs w:val="32"/>
        </w:rPr>
        <w:t>地震波</w:t>
      </w:r>
      <w:r>
        <w:rPr>
          <w:rFonts w:ascii="仿宋" w:hAnsi="仿宋" w:eastAsia="仿宋" w:cs="宋体"/>
          <w:sz w:val="32"/>
          <w:szCs w:val="32"/>
        </w:rPr>
        <w:fldChar w:fldCharType="end"/>
      </w:r>
      <w:r>
        <w:rPr>
          <w:rFonts w:ascii="仿宋" w:hAnsi="仿宋" w:eastAsia="仿宋" w:cs="宋体"/>
          <w:sz w:val="32"/>
          <w:szCs w:val="32"/>
        </w:rPr>
        <w:t>的一种</w:t>
      </w:r>
      <w:r>
        <w:fldChar w:fldCharType="begin"/>
      </w:r>
      <w:r>
        <w:instrText xml:space="preserve"> HYPERLINK "https://baike.baidu.com/item/%E8%87%AA%E7%84%B6/18336837" \t "_blank" </w:instrText>
      </w:r>
      <w:r>
        <w:fldChar w:fldCharType="separate"/>
      </w:r>
      <w:r>
        <w:rPr>
          <w:rFonts w:ascii="仿宋" w:hAnsi="仿宋" w:eastAsia="仿宋" w:cs="宋体"/>
          <w:sz w:val="32"/>
          <w:szCs w:val="32"/>
        </w:rPr>
        <w:t>自然</w:t>
      </w:r>
      <w:r>
        <w:rPr>
          <w:rFonts w:ascii="仿宋" w:hAnsi="仿宋" w:eastAsia="仿宋" w:cs="宋体"/>
          <w:sz w:val="32"/>
          <w:szCs w:val="32"/>
        </w:rPr>
        <w:fldChar w:fldCharType="end"/>
      </w:r>
      <w:r>
        <w:rPr>
          <w:rFonts w:ascii="仿宋" w:hAnsi="仿宋" w:eastAsia="仿宋" w:cs="宋体"/>
          <w:sz w:val="32"/>
          <w:szCs w:val="32"/>
        </w:rPr>
        <w:t>现象。</w:t>
      </w:r>
    </w:p>
    <w:p>
      <w:pPr>
        <w:spacing w:line="360" w:lineRule="auto"/>
        <w:ind w:firstLine="643" w:firstLineChars="200"/>
        <w:rPr>
          <w:rFonts w:ascii="仿宋" w:hAnsi="仿宋" w:eastAsia="仿宋" w:cs="宋体"/>
          <w:sz w:val="32"/>
          <w:szCs w:val="32"/>
        </w:rPr>
      </w:pPr>
      <w:r>
        <w:rPr>
          <w:rFonts w:ascii="仿宋" w:hAnsi="仿宋" w:eastAsia="仿宋" w:cs="宋体"/>
          <w:b/>
          <w:bCs/>
          <w:sz w:val="32"/>
          <w:szCs w:val="32"/>
        </w:rPr>
        <w:t>海啸</w:t>
      </w:r>
      <w:r>
        <w:rPr>
          <w:rFonts w:hint="eastAsia" w:ascii="仿宋" w:hAnsi="仿宋" w:eastAsia="仿宋" w:cs="宋体"/>
          <w:b/>
          <w:bCs/>
          <w:sz w:val="32"/>
          <w:szCs w:val="32"/>
        </w:rPr>
        <w:t>：</w:t>
      </w:r>
      <w:r>
        <w:rPr>
          <w:rFonts w:ascii="仿宋" w:hAnsi="仿宋" w:eastAsia="仿宋" w:cs="宋体"/>
          <w:sz w:val="32"/>
          <w:szCs w:val="32"/>
        </w:rPr>
        <w:t>由</w:t>
      </w:r>
      <w:r>
        <w:fldChar w:fldCharType="begin"/>
      </w:r>
      <w:r>
        <w:instrText xml:space="preserve"> HYPERLINK "https://baike.baidu.com/item/%E6%B5%B7%E5%BA%95%E5%9C%B0%E9%9C%87/2397645" \t "_blank" </w:instrText>
      </w:r>
      <w:r>
        <w:fldChar w:fldCharType="separate"/>
      </w:r>
      <w:r>
        <w:rPr>
          <w:rFonts w:ascii="仿宋" w:hAnsi="仿宋" w:eastAsia="仿宋"/>
          <w:sz w:val="32"/>
          <w:szCs w:val="32"/>
        </w:rPr>
        <w:t>海底地震</w:t>
      </w:r>
      <w:r>
        <w:rPr>
          <w:rFonts w:ascii="仿宋" w:hAnsi="仿宋" w:eastAsia="仿宋"/>
          <w:sz w:val="32"/>
          <w:szCs w:val="32"/>
        </w:rPr>
        <w:fldChar w:fldCharType="end"/>
      </w:r>
      <w:r>
        <w:rPr>
          <w:rFonts w:ascii="仿宋" w:hAnsi="仿宋" w:eastAsia="仿宋" w:cs="宋体"/>
          <w:sz w:val="32"/>
          <w:szCs w:val="32"/>
        </w:rPr>
        <w:t>、</w:t>
      </w:r>
      <w:r>
        <w:fldChar w:fldCharType="begin"/>
      </w:r>
      <w:r>
        <w:instrText xml:space="preserve"> HYPERLINK "https://baike.baidu.com/item/%E7%81%AB%E5%B1%B1%E7%88%86%E5%8F%91/2839983" \t "_blank" </w:instrText>
      </w:r>
      <w:r>
        <w:fldChar w:fldCharType="separate"/>
      </w:r>
      <w:r>
        <w:rPr>
          <w:rFonts w:ascii="仿宋" w:hAnsi="仿宋" w:eastAsia="仿宋"/>
          <w:sz w:val="32"/>
          <w:szCs w:val="32"/>
        </w:rPr>
        <w:t>火山爆发</w:t>
      </w:r>
      <w:r>
        <w:rPr>
          <w:rFonts w:ascii="仿宋" w:hAnsi="仿宋" w:eastAsia="仿宋"/>
          <w:sz w:val="32"/>
          <w:szCs w:val="32"/>
        </w:rPr>
        <w:fldChar w:fldCharType="end"/>
      </w:r>
      <w:r>
        <w:rPr>
          <w:rFonts w:ascii="仿宋" w:hAnsi="仿宋" w:eastAsia="仿宋" w:cs="宋体"/>
          <w:sz w:val="32"/>
          <w:szCs w:val="32"/>
        </w:rPr>
        <w:t>、</w:t>
      </w:r>
      <w:r>
        <w:fldChar w:fldCharType="begin"/>
      </w:r>
      <w:r>
        <w:instrText xml:space="preserve"> HYPERLINK "https://baike.baidu.com/item/%E6%B5%B7%E5%BA%95%E6%BB%91%E5%9D%A1/4575953" \t "_blank" </w:instrText>
      </w:r>
      <w:r>
        <w:fldChar w:fldCharType="separate"/>
      </w:r>
      <w:r>
        <w:rPr>
          <w:rFonts w:ascii="仿宋" w:hAnsi="仿宋" w:eastAsia="仿宋"/>
          <w:sz w:val="32"/>
          <w:szCs w:val="32"/>
        </w:rPr>
        <w:t>海底滑坡</w:t>
      </w:r>
      <w:r>
        <w:rPr>
          <w:rFonts w:ascii="仿宋" w:hAnsi="仿宋" w:eastAsia="仿宋"/>
          <w:sz w:val="32"/>
          <w:szCs w:val="32"/>
        </w:rPr>
        <w:fldChar w:fldCharType="end"/>
      </w:r>
      <w:r>
        <w:rPr>
          <w:rFonts w:ascii="仿宋" w:hAnsi="仿宋" w:eastAsia="仿宋" w:cs="宋体"/>
          <w:sz w:val="32"/>
          <w:szCs w:val="32"/>
        </w:rPr>
        <w:t>或气象</w:t>
      </w:r>
      <w:r>
        <w:rPr>
          <w:rFonts w:ascii="仿宋" w:hAnsi="仿宋" w:eastAsia="仿宋" w:cs="宋体"/>
          <w:sz w:val="32"/>
          <w:szCs w:val="32"/>
          <w:highlight w:val="none"/>
        </w:rPr>
        <w:t>变化</w:t>
      </w:r>
      <w:r>
        <w:rPr>
          <w:rFonts w:ascii="仿宋" w:hAnsi="仿宋" w:eastAsia="仿宋" w:cs="宋体"/>
          <w:sz w:val="32"/>
          <w:szCs w:val="32"/>
        </w:rPr>
        <w:t>产生的破坏性海浪，海啸的波速高达每小时700～800千米，在几小时内就能横过大洋；波长可达数百公里，可以传播几千公里而能量损失很小；在茫茫的大洋里波高不足一米，但当到达海岸浅水地带时，波长减短而波高急剧增高，可达数十米，形成含有巨大能量的“水墙”。</w:t>
      </w:r>
    </w:p>
    <w:p>
      <w:pPr>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崩塌：</w:t>
      </w:r>
      <w:r>
        <w:rPr>
          <w:rFonts w:hint="eastAsia" w:ascii="仿宋" w:hAnsi="仿宋" w:eastAsia="仿宋" w:cs="宋体"/>
          <w:sz w:val="32"/>
          <w:szCs w:val="32"/>
        </w:rPr>
        <w:t>指陡峭斜坡上的岩体或者土体在重力作用下，突然脱离母体，发生崩落、滚动的现象或者过程。</w:t>
      </w:r>
    </w:p>
    <w:p>
      <w:pPr>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滑坡：</w:t>
      </w:r>
      <w:r>
        <w:rPr>
          <w:rFonts w:hint="eastAsia" w:ascii="仿宋" w:hAnsi="仿宋" w:eastAsia="仿宋" w:cs="宋体"/>
          <w:sz w:val="32"/>
          <w:szCs w:val="32"/>
        </w:rPr>
        <w:t>指斜坡上的土体或者岩体，受河流冲刷、地下水活动、地震及人工切坡等因素影响，在重力作用下，沿着一定的软弱面或者软弱带，整体地或者分散地顺坡向下滑动的自然现象。</w:t>
      </w:r>
    </w:p>
    <w:p>
      <w:pPr>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泥石流：</w:t>
      </w:r>
      <w:r>
        <w:rPr>
          <w:rFonts w:hint="eastAsia" w:ascii="仿宋" w:hAnsi="仿宋" w:eastAsia="仿宋" w:cs="宋体"/>
          <w:sz w:val="32"/>
          <w:szCs w:val="32"/>
        </w:rPr>
        <w:t>指山区沟谷或者山地坡面上，由暴雨等水源激发的、含有大量泥沙石块的介于挟沙水流和滑坡之间的土、水、气混合流。</w:t>
      </w:r>
    </w:p>
    <w:p>
      <w:pPr>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地面塌陷：</w:t>
      </w:r>
      <w:r>
        <w:rPr>
          <w:rFonts w:hint="eastAsia" w:ascii="仿宋" w:hAnsi="仿宋" w:eastAsia="仿宋" w:cs="宋体"/>
          <w:sz w:val="32"/>
          <w:szCs w:val="32"/>
        </w:rPr>
        <w:t>指地表岩体或者土体受自然作用或者人为活动影响向下陷落，在地面形成塌陷坑洞并造成灾害的现象或者过程。</w:t>
      </w:r>
    </w:p>
    <w:p>
      <w:pPr>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地裂缝：</w:t>
      </w:r>
      <w:r>
        <w:rPr>
          <w:rFonts w:hint="eastAsia" w:ascii="仿宋" w:hAnsi="仿宋" w:eastAsia="仿宋" w:cs="宋体"/>
          <w:sz w:val="32"/>
          <w:szCs w:val="32"/>
        </w:rPr>
        <w:t>指地表岩层、土体在自然因素或人为因素作用下，产生开裂，并在地面形成一定长度和宽度的裂缝的一种地表破坏现象。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宋体"/>
          <w:sz w:val="32"/>
          <w:szCs w:val="32"/>
        </w:rPr>
      </w:pPr>
      <w:r>
        <w:rPr>
          <w:rFonts w:ascii="仿宋" w:hAnsi="仿宋" w:eastAsia="仿宋" w:cs="宋体"/>
          <w:b/>
          <w:bCs/>
          <w:sz w:val="32"/>
          <w:szCs w:val="32"/>
        </w:rPr>
        <w:t>地面沉降</w:t>
      </w:r>
      <w:r>
        <w:rPr>
          <w:rFonts w:hint="eastAsia" w:ascii="仿宋" w:hAnsi="仿宋" w:eastAsia="仿宋" w:cs="宋体"/>
          <w:b/>
          <w:bCs/>
          <w:sz w:val="32"/>
          <w:szCs w:val="32"/>
        </w:rPr>
        <w:t>：</w:t>
      </w:r>
      <w:r>
        <w:rPr>
          <w:rFonts w:hint="eastAsia" w:ascii="仿宋" w:hAnsi="仿宋" w:eastAsia="仿宋" w:cs="宋体"/>
          <w:sz w:val="32"/>
          <w:szCs w:val="32"/>
        </w:rPr>
        <w:t>指</w:t>
      </w:r>
      <w:r>
        <w:rPr>
          <w:rFonts w:ascii="仿宋" w:hAnsi="仿宋" w:eastAsia="仿宋" w:cs="宋体"/>
          <w:sz w:val="32"/>
          <w:szCs w:val="32"/>
        </w:rPr>
        <w:t>由于地下松散地层固结压缩，导致地壳表面标高降低的一种局部的下降运动</w:t>
      </w:r>
      <w:r>
        <w:rPr>
          <w:rFonts w:hint="eastAsia" w:ascii="仿宋" w:hAnsi="仿宋" w:eastAsia="仿宋" w:cs="宋体"/>
          <w:sz w:val="32"/>
          <w:szCs w:val="32"/>
        </w:rPr>
        <w:t>。</w:t>
      </w: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360" w:lineRule="auto"/>
        <w:ind w:firstLine="420" w:firstLineChars="200"/>
        <w:rPr>
          <w:rFonts w:ascii="仿宋" w:hAnsi="仿宋" w:eastAsia="仿宋" w:cs="宋体"/>
          <w:szCs w:val="32"/>
        </w:rPr>
      </w:pPr>
    </w:p>
    <w:p>
      <w:pPr>
        <w:spacing w:line="500" w:lineRule="exact"/>
        <w:outlineLvl w:val="0"/>
        <w:rPr>
          <w:rStyle w:val="13"/>
          <w:lang w:val="en-US"/>
        </w:rPr>
        <w:sectPr>
          <w:footerReference r:id="rId5" w:type="default"/>
          <w:pgSz w:w="11906" w:h="16838"/>
          <w:pgMar w:top="1417" w:right="1417" w:bottom="1417" w:left="1417"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ascii="方正小标宋简体" w:hAnsi="等线" w:eastAsia="方正小标宋简体" w:cs="宋体"/>
          <w:color w:val="000000"/>
          <w:kern w:val="0"/>
          <w:sz w:val="36"/>
          <w:szCs w:val="36"/>
        </w:rPr>
      </w:pPr>
      <w:bookmarkStart w:id="114" w:name="_Toc21990"/>
      <w:r>
        <w:rPr>
          <w:rStyle w:val="13"/>
          <w:rFonts w:hint="eastAsia"/>
          <w:lang w:val="en-US"/>
        </w:rPr>
        <w:t>附件4</w:t>
      </w:r>
      <w:bookmarkStart w:id="115" w:name="_Toc25643"/>
      <w:r>
        <w:rPr>
          <w:rStyle w:val="13"/>
          <w:rFonts w:hint="eastAsia"/>
          <w:lang w:val="en-US"/>
        </w:rPr>
        <w:t>琼山区低洼易涝点一览表</w:t>
      </w:r>
      <w:bookmarkEnd w:id="114"/>
      <w:bookmarkEnd w:id="115"/>
    </w:p>
    <w:tbl>
      <w:tblPr>
        <w:tblStyle w:val="10"/>
        <w:tblW w:w="12454" w:type="dxa"/>
        <w:jc w:val="center"/>
        <w:tblLayout w:type="autofit"/>
        <w:tblCellMar>
          <w:top w:w="0" w:type="dxa"/>
          <w:left w:w="108" w:type="dxa"/>
          <w:bottom w:w="0" w:type="dxa"/>
          <w:right w:w="108" w:type="dxa"/>
        </w:tblCellMar>
      </w:tblPr>
      <w:tblGrid>
        <w:gridCol w:w="681"/>
        <w:gridCol w:w="1560"/>
        <w:gridCol w:w="1781"/>
        <w:gridCol w:w="1134"/>
        <w:gridCol w:w="1134"/>
        <w:gridCol w:w="1843"/>
        <w:gridCol w:w="1984"/>
        <w:gridCol w:w="1134"/>
        <w:gridCol w:w="1203"/>
      </w:tblGrid>
      <w:tr>
        <w:tblPrEx>
          <w:tblCellMar>
            <w:top w:w="0" w:type="dxa"/>
            <w:left w:w="108" w:type="dxa"/>
            <w:bottom w:w="0" w:type="dxa"/>
            <w:right w:w="108" w:type="dxa"/>
          </w:tblCellMar>
        </w:tblPrEx>
        <w:trPr>
          <w:trHeight w:val="750" w:hRule="atLeast"/>
          <w:jc w:val="center"/>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所在乡镇</w:t>
            </w:r>
            <w:r>
              <w:rPr>
                <w:rFonts w:hint="eastAsia" w:ascii="黑体" w:hAnsi="黑体" w:eastAsia="黑体" w:cs="宋体"/>
                <w:color w:val="000000"/>
                <w:kern w:val="0"/>
                <w:sz w:val="24"/>
                <w:highlight w:val="none"/>
                <w:lang w:eastAsia="zh-CN"/>
              </w:rPr>
              <w:t>（</w:t>
            </w:r>
            <w:r>
              <w:rPr>
                <w:rFonts w:hint="eastAsia" w:ascii="黑体" w:hAnsi="黑体" w:eastAsia="黑体" w:cs="宋体"/>
                <w:color w:val="000000"/>
                <w:kern w:val="0"/>
                <w:sz w:val="24"/>
              </w:rPr>
              <w:t>区</w:t>
            </w:r>
            <w:r>
              <w:rPr>
                <w:rFonts w:hint="eastAsia" w:ascii="黑体" w:hAnsi="黑体" w:eastAsia="黑体" w:cs="宋体"/>
                <w:color w:val="000000"/>
                <w:kern w:val="0"/>
                <w:sz w:val="24"/>
                <w:highlight w:val="none"/>
                <w:lang w:eastAsia="zh-CN"/>
              </w:rPr>
              <w:t>）</w:t>
            </w:r>
            <w:r>
              <w:rPr>
                <w:rFonts w:hint="eastAsia" w:ascii="黑体" w:hAnsi="黑体" w:eastAsia="黑体" w:cs="宋体"/>
                <w:color w:val="000000"/>
                <w:kern w:val="0"/>
                <w:sz w:val="24"/>
              </w:rPr>
              <w:t xml:space="preserve"> /行政村</w:t>
            </w:r>
          </w:p>
        </w:tc>
        <w:tc>
          <w:tcPr>
            <w:tcW w:w="17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具体地点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影响户数（户）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影响人数（人）</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存在的主要问题及隐患</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主要对策/整改措施</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转移安置地点</w:t>
            </w:r>
          </w:p>
        </w:tc>
        <w:tc>
          <w:tcPr>
            <w:tcW w:w="12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转移</w:t>
            </w:r>
          </w:p>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责任人</w:t>
            </w:r>
          </w:p>
        </w:tc>
      </w:tr>
      <w:tr>
        <w:tblPrEx>
          <w:tblCellMar>
            <w:top w:w="0" w:type="dxa"/>
            <w:left w:w="108" w:type="dxa"/>
            <w:bottom w:w="0" w:type="dxa"/>
            <w:right w:w="108" w:type="dxa"/>
          </w:tblCellMar>
        </w:tblPrEx>
        <w:trPr>
          <w:trHeight w:val="1401" w:hRule="atLeas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国兴</w:t>
            </w:r>
            <w:r>
              <w:rPr>
                <w:rFonts w:hint="eastAsia" w:ascii="宋体" w:hAnsi="宋体" w:eastAsia="宋体" w:cs="宋体"/>
                <w:color w:val="000000"/>
                <w:kern w:val="0"/>
                <w:szCs w:val="21"/>
                <w:lang w:eastAsia="zh-CN"/>
              </w:rPr>
              <w:t>街道</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兴龙小区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积水对小区1楼住户有影响</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当下雨积水时社区人中和小区管理员都及时转移一楼居民和物资到二楼，待积水退去。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小区二楼</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王炳荣</w:t>
            </w:r>
          </w:p>
        </w:tc>
      </w:tr>
      <w:tr>
        <w:tblPrEx>
          <w:tblCellMar>
            <w:top w:w="0" w:type="dxa"/>
            <w:left w:w="108" w:type="dxa"/>
            <w:bottom w:w="0" w:type="dxa"/>
            <w:right w:w="108" w:type="dxa"/>
          </w:tblCellMar>
        </w:tblPrEx>
        <w:trPr>
          <w:trHeight w:val="1380" w:hRule="atLeas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国兴</w:t>
            </w:r>
            <w:r>
              <w:rPr>
                <w:rFonts w:hint="eastAsia" w:ascii="宋体" w:hAnsi="宋体" w:eastAsia="宋体" w:cs="宋体"/>
                <w:color w:val="000000"/>
                <w:kern w:val="0"/>
                <w:szCs w:val="21"/>
                <w:lang w:eastAsia="zh-CN"/>
              </w:rPr>
              <w:t>街道</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昌华公寓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该小区属于拆迁问题留置楼，该小区属于低洼小区，积水问题严重。</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每次汛期前用沙袋截留并疏散一楼居民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文政社区办公室</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符翔</w:t>
            </w:r>
          </w:p>
        </w:tc>
      </w:tr>
      <w:tr>
        <w:tblPrEx>
          <w:tblCellMar>
            <w:top w:w="0" w:type="dxa"/>
            <w:left w:w="108" w:type="dxa"/>
            <w:bottom w:w="0" w:type="dxa"/>
            <w:right w:w="108" w:type="dxa"/>
          </w:tblCellMar>
        </w:tblPrEx>
        <w:trPr>
          <w:trHeight w:val="1380" w:hRule="atLeas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旧州镇</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新克村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53户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187</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新克村位于南渡江边低洼地区，南渡江水上涨易淹</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领导重视、组织成立防汛抢险队伍，实时监控指挥防汛，设立积水警示标识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新克村防洪楼</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徐东</w:t>
            </w:r>
          </w:p>
        </w:tc>
      </w:tr>
      <w:tr>
        <w:tblPrEx>
          <w:tblCellMar>
            <w:top w:w="0" w:type="dxa"/>
            <w:left w:w="108" w:type="dxa"/>
            <w:bottom w:w="0" w:type="dxa"/>
            <w:right w:w="108" w:type="dxa"/>
          </w:tblCellMar>
        </w:tblPrEx>
        <w:trPr>
          <w:trHeight w:val="1021"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云龙镇</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长泰村委会</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谭连村一、二队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color w:val="000000"/>
                <w:kern w:val="0"/>
                <w:szCs w:val="21"/>
              </w:rPr>
              <w:t>无</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谭连防洪大楼</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周道华</w:t>
            </w:r>
          </w:p>
        </w:tc>
      </w:tr>
      <w:tr>
        <w:tblPrEx>
          <w:tblCellMar>
            <w:top w:w="0" w:type="dxa"/>
            <w:left w:w="108" w:type="dxa"/>
            <w:bottom w:w="0" w:type="dxa"/>
            <w:right w:w="108" w:type="dxa"/>
          </w:tblCellMar>
        </w:tblPrEx>
        <w:trPr>
          <w:trHeight w:val="1021"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滨江街道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博桂社区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下坎东路</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305-1号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color w:val="000000"/>
                <w:kern w:val="0"/>
                <w:szCs w:val="21"/>
              </w:rPr>
              <w:t>易积水</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转移群众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下坎东路267号</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李艺菲</w:t>
            </w:r>
          </w:p>
        </w:tc>
      </w:tr>
      <w:tr>
        <w:tblPrEx>
          <w:tblCellMar>
            <w:top w:w="0" w:type="dxa"/>
            <w:left w:w="108" w:type="dxa"/>
            <w:bottom w:w="0" w:type="dxa"/>
            <w:right w:w="108" w:type="dxa"/>
          </w:tblCellMar>
        </w:tblPrEx>
        <w:trPr>
          <w:trHeight w:val="1021" w:hRule="exact"/>
          <w:jc w:val="center"/>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滨江街道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下坎社区</w:t>
            </w:r>
          </w:p>
        </w:tc>
        <w:tc>
          <w:tcPr>
            <w:tcW w:w="1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下坎东路</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282号前</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80</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低洼容易积水，出行不便</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转移群众</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琼山五小安置点</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林招</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韩姗芹</w:t>
            </w:r>
          </w:p>
        </w:tc>
      </w:tr>
      <w:tr>
        <w:tblPrEx>
          <w:tblCellMar>
            <w:top w:w="0" w:type="dxa"/>
            <w:left w:w="108" w:type="dxa"/>
            <w:bottom w:w="0" w:type="dxa"/>
            <w:right w:w="108" w:type="dxa"/>
          </w:tblCellMar>
        </w:tblPrEx>
        <w:trPr>
          <w:trHeight w:val="1021" w:hRule="exact"/>
          <w:jc w:val="center"/>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滨江街道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下坎社区</w:t>
            </w:r>
          </w:p>
        </w:tc>
        <w:tc>
          <w:tcPr>
            <w:tcW w:w="17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下坎东路300号前至琼州大道293号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200</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600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低洼容易积水，出行不便</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转移群众</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琼山五小安置点</w:t>
            </w:r>
          </w:p>
        </w:tc>
        <w:tc>
          <w:tcPr>
            <w:tcW w:w="12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林招</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韩姗芹</w:t>
            </w:r>
          </w:p>
        </w:tc>
      </w:tr>
      <w:tr>
        <w:tblPrEx>
          <w:tblCellMar>
            <w:top w:w="0" w:type="dxa"/>
            <w:left w:w="108" w:type="dxa"/>
            <w:bottom w:w="0" w:type="dxa"/>
            <w:right w:w="108" w:type="dxa"/>
          </w:tblCellMar>
        </w:tblPrEx>
        <w:trPr>
          <w:trHeight w:val="1021"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滨江街道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下坎社区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绿岛花苑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338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700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低洼容易积水，一楼住户容易进水，出行不便</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转移群众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琼山五小安置点</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张小倩</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周晓芳</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王帅</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滨江街道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北冲溪社区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新大洲大道361号旁统管站106房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社区</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吴海兰</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滨江街道</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新大洲大道363号旁统管站101房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社区</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林尤郭</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滨江街道</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新大洲大道363号旁统管站101房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社区</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罗昌德</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滨江街道</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防洪提边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亲戚家</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黄畅顺</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滨江街道</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防洪提边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亲戚家</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莫美桐</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滨江街道</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防洪提边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亲戚家</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周荣妹</w:t>
            </w:r>
          </w:p>
        </w:tc>
      </w:tr>
      <w:tr>
        <w:tblPrEx>
          <w:tblCellMar>
            <w:top w:w="0" w:type="dxa"/>
            <w:left w:w="108" w:type="dxa"/>
            <w:bottom w:w="0" w:type="dxa"/>
            <w:right w:w="108" w:type="dxa"/>
          </w:tblCellMar>
        </w:tblPrEx>
        <w:trPr>
          <w:trHeight w:val="907" w:hRule="exact"/>
          <w:jc w:val="center"/>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滨江街道</w:t>
            </w:r>
          </w:p>
        </w:tc>
        <w:tc>
          <w:tcPr>
            <w:tcW w:w="1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防洪提边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众到安全地带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儿子家</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陈友鹏</w:t>
            </w:r>
          </w:p>
        </w:tc>
      </w:tr>
      <w:tr>
        <w:tblPrEx>
          <w:tblCellMar>
            <w:top w:w="0" w:type="dxa"/>
            <w:left w:w="108" w:type="dxa"/>
            <w:bottom w:w="0" w:type="dxa"/>
            <w:right w:w="108" w:type="dxa"/>
          </w:tblCellMar>
        </w:tblPrEx>
        <w:trPr>
          <w:trHeight w:val="907" w:hRule="exact"/>
          <w:jc w:val="center"/>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凤翔街道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高登社区</w:t>
            </w:r>
          </w:p>
        </w:tc>
        <w:tc>
          <w:tcPr>
            <w:tcW w:w="17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立达花苑</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低洼地带</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高登社区避难所</w:t>
            </w:r>
          </w:p>
        </w:tc>
        <w:tc>
          <w:tcPr>
            <w:tcW w:w="12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陈敏</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凤翔街道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高登社区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高登社区新桥路18号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低洼地带</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高登社区避难所</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陈敏</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凤翔街道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高登社区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高登社区高登里二横42号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低洼地带</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高登社区避难所</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陈敏</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凤翔街道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桂林社区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三排塘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低洼地带</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转移到安全场地</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陈伯龙</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凤翔街道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桂林社区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海怡花园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295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低洼地带</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转移到安全场地</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陈伯龙</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凤翔街道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三峰社区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三峰里海口市国土资源局前面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低洼地带</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转移到安全场地</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何墩钦</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凤翔街道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三峰社区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三峰里73号后面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低洼地带</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转移到安全场地</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何墩钦</w:t>
            </w:r>
          </w:p>
        </w:tc>
      </w:tr>
      <w:tr>
        <w:tblPrEx>
          <w:tblCellMar>
            <w:top w:w="0" w:type="dxa"/>
            <w:left w:w="108" w:type="dxa"/>
            <w:bottom w:w="0" w:type="dxa"/>
            <w:right w:w="108" w:type="dxa"/>
          </w:tblCellMar>
        </w:tblPrEx>
        <w:trPr>
          <w:trHeight w:val="907" w:hRule="exact"/>
          <w:jc w:val="center"/>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凤翔街道</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凤翔社区</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凤翔社区振群巷141号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456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低洼地带</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沟通转移群众</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到安全地带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转移到安全场地</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周春燕</w:t>
            </w:r>
          </w:p>
        </w:tc>
      </w:tr>
    </w:tbl>
    <w:p>
      <w:pPr>
        <w:spacing w:line="500" w:lineRule="exact"/>
        <w:outlineLvl w:val="9"/>
        <w:rPr>
          <w:rStyle w:val="13"/>
          <w:lang w:val="en-US"/>
        </w:rPr>
      </w:pPr>
    </w:p>
    <w:p>
      <w:pPr>
        <w:spacing w:line="340" w:lineRule="exact"/>
        <w:outlineLvl w:val="9"/>
        <w:rPr>
          <w:rStyle w:val="13"/>
          <w:rFonts w:ascii="黑体" w:hAnsi="黑体"/>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方正小标宋简体" w:hAnsi="等线" w:eastAsia="方正小标宋简体" w:cs="宋体"/>
          <w:color w:val="000000"/>
          <w:kern w:val="0"/>
          <w:sz w:val="36"/>
          <w:szCs w:val="36"/>
        </w:rPr>
      </w:pPr>
      <w:bookmarkStart w:id="116" w:name="_Toc13929"/>
      <w:bookmarkStart w:id="117" w:name="_Toc17771"/>
      <w:r>
        <w:rPr>
          <w:rStyle w:val="13"/>
          <w:rFonts w:hint="eastAsia"/>
          <w:lang w:val="en-US"/>
        </w:rPr>
        <w:t>附件5</w:t>
      </w:r>
      <w:bookmarkEnd w:id="116"/>
      <w:r>
        <w:rPr>
          <w:rStyle w:val="13"/>
          <w:rFonts w:hint="eastAsia"/>
          <w:lang w:val="en-US"/>
        </w:rPr>
        <w:t>琼山区地质灾害易发点一览表</w:t>
      </w:r>
      <w:bookmarkEnd w:id="117"/>
    </w:p>
    <w:p>
      <w:pPr>
        <w:spacing w:line="340" w:lineRule="exact"/>
        <w:jc w:val="center"/>
        <w:outlineLvl w:val="9"/>
        <w:rPr>
          <w:rStyle w:val="13"/>
          <w:rFonts w:ascii="黑体" w:hAnsi="黑体"/>
        </w:rPr>
      </w:pPr>
    </w:p>
    <w:tbl>
      <w:tblPr>
        <w:tblStyle w:val="10"/>
        <w:tblW w:w="11964" w:type="dxa"/>
        <w:jc w:val="center"/>
        <w:tblLayout w:type="autofit"/>
        <w:tblCellMar>
          <w:top w:w="0" w:type="dxa"/>
          <w:left w:w="108" w:type="dxa"/>
          <w:bottom w:w="0" w:type="dxa"/>
          <w:right w:w="108" w:type="dxa"/>
        </w:tblCellMar>
      </w:tblPr>
      <w:tblGrid>
        <w:gridCol w:w="843"/>
        <w:gridCol w:w="1267"/>
        <w:gridCol w:w="1266"/>
        <w:gridCol w:w="1989"/>
        <w:gridCol w:w="974"/>
        <w:gridCol w:w="1311"/>
        <w:gridCol w:w="1276"/>
        <w:gridCol w:w="1701"/>
        <w:gridCol w:w="1337"/>
      </w:tblGrid>
      <w:tr>
        <w:tblPrEx>
          <w:tblCellMar>
            <w:top w:w="0" w:type="dxa"/>
            <w:left w:w="108" w:type="dxa"/>
            <w:bottom w:w="0" w:type="dxa"/>
            <w:right w:w="108" w:type="dxa"/>
          </w:tblCellMar>
        </w:tblPrEx>
        <w:trPr>
          <w:trHeight w:val="900" w:hRule="atLeast"/>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地质灾害名称</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灾害类型</w:t>
            </w:r>
          </w:p>
        </w:tc>
        <w:tc>
          <w:tcPr>
            <w:tcW w:w="19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所在乡镇</w:t>
            </w:r>
            <w:r>
              <w:rPr>
                <w:rFonts w:hint="eastAsia" w:ascii="黑体" w:hAnsi="黑体" w:eastAsia="黑体" w:cs="宋体"/>
                <w:color w:val="000000"/>
                <w:kern w:val="0"/>
                <w:sz w:val="24"/>
                <w:highlight w:val="none"/>
                <w:lang w:eastAsia="zh-CN"/>
              </w:rPr>
              <w:t>（</w:t>
            </w:r>
            <w:r>
              <w:rPr>
                <w:rFonts w:hint="eastAsia" w:ascii="黑体" w:hAnsi="黑体" w:eastAsia="黑体" w:cs="宋体"/>
                <w:color w:val="000000"/>
                <w:kern w:val="0"/>
                <w:sz w:val="24"/>
              </w:rPr>
              <w:t>区</w:t>
            </w:r>
            <w:r>
              <w:rPr>
                <w:rFonts w:hint="eastAsia" w:ascii="黑体" w:hAnsi="黑体" w:eastAsia="黑体" w:cs="宋体"/>
                <w:color w:val="000000"/>
                <w:kern w:val="0"/>
                <w:sz w:val="24"/>
                <w:highlight w:val="none"/>
                <w:lang w:eastAsia="zh-CN"/>
              </w:rPr>
              <w:t>）</w:t>
            </w:r>
            <w:r>
              <w:rPr>
                <w:rFonts w:hint="eastAsia" w:ascii="黑体" w:hAnsi="黑体" w:eastAsia="黑体" w:cs="宋体"/>
                <w:color w:val="000000"/>
                <w:kern w:val="0"/>
                <w:sz w:val="24"/>
              </w:rPr>
              <w:t xml:space="preserve"> /行政村 </w:t>
            </w:r>
          </w:p>
        </w:tc>
        <w:tc>
          <w:tcPr>
            <w:tcW w:w="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是否有应急预案</w:t>
            </w:r>
          </w:p>
        </w:tc>
        <w:tc>
          <w:tcPr>
            <w:tcW w:w="1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是否有监测系统或设备</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存在的主要问题及隐患</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主要对策/整改措施</w:t>
            </w: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责任人</w:t>
            </w:r>
          </w:p>
        </w:tc>
      </w:tr>
      <w:tr>
        <w:tblPrEx>
          <w:tblCellMar>
            <w:top w:w="0" w:type="dxa"/>
            <w:left w:w="108" w:type="dxa"/>
            <w:bottom w:w="0" w:type="dxa"/>
            <w:right w:w="108" w:type="dxa"/>
          </w:tblCellMar>
        </w:tblPrEx>
        <w:trPr>
          <w:trHeight w:val="1101" w:hRule="atLeast"/>
          <w:jc w:val="center"/>
        </w:trPr>
        <w:tc>
          <w:tcPr>
            <w:tcW w:w="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4"/>
              </w:rPr>
            </w:pPr>
            <w:r>
              <w:rPr>
                <w:rFonts w:hint="eastAsia" w:cs="宋体" w:asciiTheme="minorEastAsia" w:hAnsiTheme="minorEastAsia"/>
                <w:color w:val="000000"/>
                <w:kern w:val="0"/>
                <w:sz w:val="24"/>
              </w:rPr>
              <w:t>甲子镇</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云松岭</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滑坡</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甲子镇文山村</w:t>
            </w:r>
          </w:p>
        </w:tc>
        <w:tc>
          <w:tcPr>
            <w:tcW w:w="9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有</w:t>
            </w:r>
          </w:p>
        </w:tc>
        <w:tc>
          <w:tcPr>
            <w:tcW w:w="13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滑坡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设立警示牌，汛期加强巡查。</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余明宝</w:t>
            </w:r>
          </w:p>
        </w:tc>
      </w:tr>
      <w:tr>
        <w:tblPrEx>
          <w:tblCellMar>
            <w:top w:w="0" w:type="dxa"/>
            <w:left w:w="108" w:type="dxa"/>
            <w:bottom w:w="0" w:type="dxa"/>
            <w:right w:w="108" w:type="dxa"/>
          </w:tblCellMar>
        </w:tblPrEx>
        <w:trPr>
          <w:trHeight w:val="1239" w:hRule="atLeast"/>
          <w:jc w:val="center"/>
        </w:trPr>
        <w:tc>
          <w:tcPr>
            <w:tcW w:w="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4"/>
              </w:rPr>
            </w:pPr>
            <w:r>
              <w:rPr>
                <w:rFonts w:hint="eastAsia" w:cs="宋体" w:asciiTheme="minorEastAsia" w:hAnsiTheme="minorEastAsia"/>
                <w:color w:val="000000"/>
                <w:kern w:val="0"/>
                <w:sz w:val="24"/>
              </w:rPr>
              <w:t>南渡江</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龙塘段</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崩塌</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lang w:eastAsia="zh-CN"/>
              </w:rPr>
            </w:pPr>
            <w:r>
              <w:rPr>
                <w:rFonts w:hint="eastAsia" w:cs="宋体" w:asciiTheme="minorEastAsia" w:hAnsiTheme="minorEastAsia"/>
                <w:color w:val="000000"/>
                <w:kern w:val="0"/>
                <w:sz w:val="24"/>
              </w:rPr>
              <w:t>龙塘镇潭口</w:t>
            </w:r>
            <w:r>
              <w:rPr>
                <w:rFonts w:hint="eastAsia" w:cs="宋体" w:asciiTheme="minorEastAsia" w:hAnsiTheme="minorEastAsia"/>
                <w:color w:val="000000"/>
                <w:kern w:val="0"/>
                <w:sz w:val="24"/>
                <w:lang w:eastAsia="zh-CN"/>
              </w:rPr>
              <w:t>村</w:t>
            </w:r>
          </w:p>
        </w:tc>
        <w:tc>
          <w:tcPr>
            <w:tcW w:w="9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有</w:t>
            </w:r>
          </w:p>
        </w:tc>
        <w:tc>
          <w:tcPr>
            <w:tcW w:w="13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河岸崩塌</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设立警示牌，汛期加强巡查。</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周才锋</w:t>
            </w:r>
          </w:p>
        </w:tc>
      </w:tr>
    </w:tbl>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hint="eastAsia" w:ascii="黑体" w:hAnsi="黑体"/>
        </w:rPr>
      </w:pPr>
      <w:bookmarkStart w:id="118" w:name="_Toc838"/>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方正小标宋简体" w:hAnsi="等线" w:eastAsia="方正小标宋简体" w:cs="宋体"/>
          <w:color w:val="000000"/>
          <w:kern w:val="0"/>
          <w:sz w:val="36"/>
          <w:szCs w:val="36"/>
        </w:rPr>
      </w:pPr>
      <w:bookmarkStart w:id="119" w:name="_Toc14881"/>
      <w:r>
        <w:rPr>
          <w:rStyle w:val="13"/>
          <w:rFonts w:hint="eastAsia"/>
          <w:lang w:val="en-US"/>
        </w:rPr>
        <w:t>附件6</w:t>
      </w:r>
      <w:bookmarkEnd w:id="118"/>
      <w:r>
        <w:rPr>
          <w:rStyle w:val="13"/>
          <w:rFonts w:hint="eastAsia"/>
          <w:lang w:val="en-US"/>
        </w:rPr>
        <w:t>琼山区建筑工地隐患点一览表</w:t>
      </w:r>
      <w:bookmarkEnd w:id="119"/>
    </w:p>
    <w:p>
      <w:pPr>
        <w:spacing w:line="340" w:lineRule="exact"/>
        <w:jc w:val="center"/>
        <w:outlineLvl w:val="9"/>
        <w:rPr>
          <w:rStyle w:val="13"/>
          <w:rFonts w:ascii="黑体" w:hAnsi="黑体"/>
        </w:rPr>
      </w:pPr>
    </w:p>
    <w:tbl>
      <w:tblPr>
        <w:tblStyle w:val="10"/>
        <w:tblW w:w="11477" w:type="dxa"/>
        <w:jc w:val="center"/>
        <w:tblLayout w:type="autofit"/>
        <w:tblCellMar>
          <w:top w:w="0" w:type="dxa"/>
          <w:left w:w="108" w:type="dxa"/>
          <w:bottom w:w="0" w:type="dxa"/>
          <w:right w:w="108" w:type="dxa"/>
        </w:tblCellMar>
      </w:tblPr>
      <w:tblGrid>
        <w:gridCol w:w="1129"/>
        <w:gridCol w:w="1591"/>
        <w:gridCol w:w="1700"/>
        <w:gridCol w:w="1540"/>
        <w:gridCol w:w="1832"/>
        <w:gridCol w:w="1984"/>
        <w:gridCol w:w="1701"/>
      </w:tblGrid>
      <w:tr>
        <w:tblPrEx>
          <w:tblCellMar>
            <w:top w:w="0" w:type="dxa"/>
            <w:left w:w="108" w:type="dxa"/>
            <w:bottom w:w="0" w:type="dxa"/>
            <w:right w:w="108" w:type="dxa"/>
          </w:tblCellMar>
        </w:tblPrEx>
        <w:trPr>
          <w:trHeight w:val="900"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工程名称</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隐患类别（如深基坑、塔吊、临时工棚等）</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所在辖区</w:t>
            </w:r>
          </w:p>
        </w:tc>
        <w:tc>
          <w:tcPr>
            <w:tcW w:w="18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存在的主要问题及隐患</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主要对策/整改措施</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责任人</w:t>
            </w:r>
          </w:p>
        </w:tc>
      </w:tr>
      <w:tr>
        <w:tblPrEx>
          <w:tblCellMar>
            <w:top w:w="0" w:type="dxa"/>
            <w:left w:w="108" w:type="dxa"/>
            <w:bottom w:w="0" w:type="dxa"/>
            <w:right w:w="108" w:type="dxa"/>
          </w:tblCellMar>
        </w:tblPrEx>
        <w:trPr>
          <w:trHeight w:val="1359" w:hRule="atLeast"/>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1</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御江国际一期</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深基坑</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琼山区</w:t>
            </w:r>
          </w:p>
        </w:tc>
        <w:tc>
          <w:tcPr>
            <w:tcW w:w="183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深基坑支护北部 结构变形、垮塌</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按专家组意见做设计方案、施工方案进行整改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李小平</w:t>
            </w:r>
          </w:p>
        </w:tc>
      </w:tr>
    </w:tbl>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ascii="黑体" w:hAnsi="黑体"/>
        </w:rPr>
      </w:pPr>
    </w:p>
    <w:p>
      <w:pPr>
        <w:spacing w:line="340" w:lineRule="exact"/>
        <w:outlineLvl w:val="9"/>
        <w:rPr>
          <w:rStyle w:val="13"/>
          <w:rFonts w:hint="eastAsia" w:ascii="黑体" w:hAnsi="黑体"/>
        </w:rPr>
      </w:pPr>
      <w:bookmarkStart w:id="120" w:name="_Toc1332"/>
      <w:bookmarkStart w:id="121" w:name="_Toc6005"/>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方正小标宋简体" w:hAnsi="等线" w:eastAsia="方正小标宋简体" w:cs="宋体"/>
          <w:color w:val="000000"/>
          <w:kern w:val="0"/>
          <w:sz w:val="36"/>
          <w:szCs w:val="36"/>
        </w:rPr>
      </w:pPr>
      <w:bookmarkStart w:id="122" w:name="_Toc14757"/>
      <w:r>
        <w:rPr>
          <w:rStyle w:val="13"/>
          <w:rFonts w:hint="eastAsia"/>
          <w:lang w:val="en-US"/>
        </w:rPr>
        <w:t>附件7</w:t>
      </w:r>
      <w:bookmarkEnd w:id="120"/>
      <w:bookmarkEnd w:id="121"/>
      <w:r>
        <w:rPr>
          <w:rStyle w:val="13"/>
          <w:rFonts w:hint="eastAsia"/>
          <w:lang w:val="en-US"/>
        </w:rPr>
        <w:t>琼山区防汛抢险队伍一览表</w:t>
      </w:r>
      <w:bookmarkEnd w:id="122"/>
    </w:p>
    <w:tbl>
      <w:tblPr>
        <w:tblStyle w:val="10"/>
        <w:tblW w:w="11855" w:type="dxa"/>
        <w:jc w:val="center"/>
        <w:tblLayout w:type="autofit"/>
        <w:tblCellMar>
          <w:top w:w="0" w:type="dxa"/>
          <w:left w:w="108" w:type="dxa"/>
          <w:bottom w:w="0" w:type="dxa"/>
          <w:right w:w="108" w:type="dxa"/>
        </w:tblCellMar>
      </w:tblPr>
      <w:tblGrid>
        <w:gridCol w:w="996"/>
        <w:gridCol w:w="2118"/>
        <w:gridCol w:w="2410"/>
        <w:gridCol w:w="2268"/>
        <w:gridCol w:w="1701"/>
        <w:gridCol w:w="2126"/>
        <w:gridCol w:w="236"/>
      </w:tblGrid>
      <w:tr>
        <w:tblPrEx>
          <w:tblCellMar>
            <w:top w:w="0" w:type="dxa"/>
            <w:left w:w="108" w:type="dxa"/>
            <w:bottom w:w="0" w:type="dxa"/>
            <w:right w:w="108" w:type="dxa"/>
          </w:tblCellMar>
        </w:tblPrEx>
        <w:trPr>
          <w:gridAfter w:val="1"/>
          <w:wAfter w:w="236" w:type="dxa"/>
          <w:trHeight w:val="312" w:hRule="atLeast"/>
          <w:jc w:val="center"/>
        </w:trPr>
        <w:tc>
          <w:tcPr>
            <w:tcW w:w="9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1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队伍类型</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抢险范围</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处置险情类型</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抢险队伍人数（人）</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抢险队负责人</w:t>
            </w:r>
          </w:p>
        </w:tc>
      </w:tr>
      <w:tr>
        <w:tblPrEx>
          <w:tblCellMar>
            <w:top w:w="0" w:type="dxa"/>
            <w:left w:w="108" w:type="dxa"/>
            <w:bottom w:w="0" w:type="dxa"/>
            <w:right w:w="108" w:type="dxa"/>
          </w:tblCellMar>
        </w:tblPrEx>
        <w:trPr>
          <w:trHeight w:val="312" w:hRule="atLeast"/>
          <w:jc w:val="center"/>
        </w:trPr>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3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府城街道办忠介社区应急队伍</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highlight w:val="none"/>
              </w:rPr>
              <w:t>忠介</w:t>
            </w:r>
            <w:r>
              <w:rPr>
                <w:rFonts w:hint="eastAsia" w:cs="宋体" w:asciiTheme="minorEastAsia" w:hAnsiTheme="minorEastAsia"/>
                <w:color w:val="000000"/>
                <w:kern w:val="0"/>
                <w:szCs w:val="21"/>
              </w:rPr>
              <w:t>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郑  浩</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府城街道办北胜社区应急队伍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北胜社区辖区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郑道超</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府城街道办云露社区应急队伍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云露社区辖区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  彬</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府城街道办北官社区应急队伍</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highlight w:val="none"/>
              </w:rPr>
              <w:t>北官</w:t>
            </w:r>
            <w:r>
              <w:rPr>
                <w:rFonts w:hint="eastAsia" w:cs="宋体" w:asciiTheme="minorEastAsia" w:hAnsiTheme="minorEastAsia"/>
                <w:color w:val="000000"/>
                <w:kern w:val="0"/>
                <w:szCs w:val="21"/>
              </w:rPr>
              <w:t>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高荣东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府城街道办龙昆南社区应急队伍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龙昆南社区辖区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  钦</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府城街道办甘蔗园社区应急队伍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甘蔗园社区辖区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王大基</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府城街道办文庄社区应急队伍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文庄社区辖区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吴观仕</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府城街道办府城社区应急队伍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何金星</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府城街道办鼓楼社区应急队伍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鼓楼社区辖区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  莉</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府城街道办街道应急民兵</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府城街道辖区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转移安置群众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  勇</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大坡镇门板水库抢险队</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门板水库</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r>
              <w:rPr>
                <w:rFonts w:hint="eastAsia" w:cs="宋体" w:asciiTheme="minorEastAsia" w:hAnsiTheme="minorEastAsia"/>
                <w:color w:val="000000"/>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占道全</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大坡镇高明水库抢险队</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高明水库</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吴明雷</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2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大坡镇土其塘水库抢险队</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土其塘水库</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傅后飞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大坡镇大吉水库抢险队</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大吉水库</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吴多谦</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大坡镇龙村水库抢险队</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龙村水库</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谢黄哺</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大坡镇湴统水库抢险队</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湴统水库</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郑庆文</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大坡镇苦塘水库抢险队</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苦塘水库</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吴坤贵</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大坡镇西埇水库抢险队</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西埇水库</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史贻业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大坡镇东昌三队水库抢险队</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三队水库</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水利设施抢险</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李忠</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区园林局 防汛抢险 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琼山</w:t>
            </w:r>
            <w:r>
              <w:rPr>
                <w:rFonts w:hint="eastAsia" w:cs="宋体" w:asciiTheme="minorEastAsia" w:hAnsiTheme="minorEastAsia"/>
                <w:color w:val="000000"/>
                <w:kern w:val="0"/>
                <w:szCs w:val="21"/>
                <w:highlight w:val="none"/>
              </w:rPr>
              <w:t>区区</w:t>
            </w:r>
            <w:r>
              <w:rPr>
                <w:rFonts w:hint="eastAsia" w:cs="宋体" w:asciiTheme="minorEastAsia" w:hAnsiTheme="minorEastAsia"/>
                <w:color w:val="000000"/>
                <w:kern w:val="0"/>
                <w:szCs w:val="21"/>
              </w:rPr>
              <w:t>管道路及公共绿地</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防风防汛</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35</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雷鸣</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市政维修中心排涝抢险队</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主城区</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排涝抢险</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吴海睿</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00" w:hRule="atLeast"/>
          <w:jc w:val="center"/>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c>
          <w:tcPr>
            <w:tcW w:w="21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区教育局应急队伍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学校</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rPr>
              <w:t>校园安全隐患</w:t>
            </w:r>
            <w:r>
              <w:rPr>
                <w:rFonts w:hint="eastAsia" w:cs="宋体" w:asciiTheme="minorEastAsia" w:hAnsiTheme="minorEastAsia"/>
                <w:color w:val="000000"/>
                <w:kern w:val="0"/>
                <w:szCs w:val="21"/>
                <w:lang w:eastAsia="zh-CN"/>
              </w:rPr>
              <w:t>处置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略</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吴乾富</w:t>
            </w:r>
          </w:p>
        </w:tc>
        <w:tc>
          <w:tcPr>
            <w:tcW w:w="236" w:type="dxa"/>
            <w:vAlign w:val="center"/>
          </w:tcPr>
          <w:p>
            <w:pPr>
              <w:widowControl/>
              <w:jc w:val="left"/>
              <w:rPr>
                <w:rFonts w:ascii="Times New Roman" w:hAnsi="Times New Roman" w:eastAsia="Times New Roman" w:cs="Times New Roman"/>
                <w:kern w:val="0"/>
                <w:sz w:val="20"/>
                <w:szCs w:val="20"/>
              </w:rPr>
            </w:pPr>
          </w:p>
        </w:tc>
      </w:tr>
      <w:bookmarkEnd w:id="102"/>
      <w:bookmarkEnd w:id="106"/>
    </w:tbl>
    <w:p>
      <w:pPr>
        <w:spacing w:line="360" w:lineRule="auto"/>
        <w:rPr>
          <w:rFonts w:ascii="仿宋" w:hAnsi="仿宋" w:eastAsia="仿宋" w:cs="宋体"/>
          <w:szCs w:val="32"/>
        </w:rPr>
        <w:sectPr>
          <w:pgSz w:w="16838" w:h="11906" w:orient="landscape"/>
          <w:pgMar w:top="1418" w:right="1418" w:bottom="1418" w:left="1418" w:header="851" w:footer="992" w:gutter="0"/>
          <w:pgNumType w:fmt="numberInDash"/>
          <w:cols w:space="425" w:num="1"/>
          <w:docGrid w:type="linesAndChars" w:linePitch="312" w:charSpace="0"/>
        </w:sectPr>
      </w:pPr>
    </w:p>
    <w:p>
      <w:pPr>
        <w:keepNext w:val="0"/>
        <w:keepLines w:val="0"/>
        <w:pageBreakBefore w:val="0"/>
        <w:kinsoku/>
        <w:wordWrap/>
        <w:overflowPunct/>
        <w:topLinePunct w:val="0"/>
        <w:autoSpaceDE/>
        <w:autoSpaceDN/>
        <w:bidi w:val="0"/>
        <w:adjustRightInd/>
        <w:snapToGrid/>
        <w:spacing w:line="560" w:lineRule="exact"/>
        <w:jc w:val="both"/>
        <w:textAlignment w:val="auto"/>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78720" behindDoc="0" locked="0" layoutInCell="1" allowOverlap="1">
              <wp:simplePos x="0" y="0"/>
              <wp:positionH relativeFrom="margin">
                <wp:align>inside</wp:align>
              </wp:positionH>
              <wp:positionV relativeFrom="paragraph">
                <wp:posOffset>209550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inside;mso-position-horizontal-relative:margin;mso-wrap-style:none;z-index:251678720;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44pWdQAAAAH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FFFFFF" w:sz="6"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700A5"/>
    <w:rsid w:val="351F0E56"/>
    <w:rsid w:val="44491D24"/>
    <w:rsid w:val="45DD4FF9"/>
    <w:rsid w:val="60C3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
    <w:qFormat/>
    <w:uiPriority w:val="1"/>
    <w:pPr>
      <w:spacing w:before="15"/>
      <w:ind w:left="100"/>
      <w:jc w:val="left"/>
      <w:outlineLvl w:val="0"/>
    </w:pPr>
    <w:rPr>
      <w:rFonts w:ascii="Arial Unicode MS" w:hAnsi="Arial Unicode MS" w:eastAsia="黑体" w:cs="Arial Unicode MS"/>
      <w:sz w:val="32"/>
      <w:szCs w:val="28"/>
      <w:lang w:val="zh-CN" w:bidi="zh-CN"/>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sz w:val="28"/>
      <w:szCs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qFormat/>
    <w:uiPriority w:val="0"/>
  </w:style>
  <w:style w:type="character" w:styleId="12">
    <w:name w:val="Hyperlink"/>
    <w:basedOn w:val="11"/>
    <w:qFormat/>
    <w:uiPriority w:val="99"/>
    <w:rPr>
      <w:color w:val="0563C1" w:themeColor="hyperlink"/>
      <w:u w:val="single"/>
      <w14:textFill>
        <w14:solidFill>
          <w14:schemeClr w14:val="hlink"/>
        </w14:solidFill>
      </w14:textFill>
    </w:rPr>
  </w:style>
  <w:style w:type="character" w:customStyle="1" w:styleId="13">
    <w:name w:val="标题 1 字符"/>
    <w:link w:val="3"/>
    <w:qFormat/>
    <w:uiPriority w:val="1"/>
    <w:rPr>
      <w:rFonts w:ascii="Arial Unicode MS" w:hAnsi="Arial Unicode MS" w:eastAsia="黑体" w:cs="Arial Unicode MS"/>
      <w:sz w:val="32"/>
      <w:szCs w:val="28"/>
      <w:lang w:val="zh-CN" w:bidi="zh-CN"/>
    </w:rPr>
  </w:style>
  <w:style w:type="paragraph" w:customStyle="1" w:styleId="14">
    <w:name w:val="Body text|1"/>
    <w:basedOn w:val="1"/>
    <w:qFormat/>
    <w:uiPriority w:val="0"/>
    <w:pPr>
      <w:spacing w:line="449" w:lineRule="auto"/>
      <w:ind w:firstLine="400"/>
    </w:pPr>
    <w:rPr>
      <w:rFonts w:ascii="MingLiU" w:hAnsi="MingLiU" w:eastAsia="MingLiU" w:cs="MingLiU"/>
      <w:sz w:val="19"/>
      <w:szCs w:val="19"/>
      <w:lang w:val="zh-TW" w:eastAsia="zh-TW" w:bidi="zh-TW"/>
    </w:rPr>
  </w:style>
  <w:style w:type="paragraph" w:customStyle="1" w:styleId="15">
    <w:name w:val="Body text|4"/>
    <w:basedOn w:val="1"/>
    <w:qFormat/>
    <w:uiPriority w:val="0"/>
    <w:pPr>
      <w:spacing w:line="433" w:lineRule="exact"/>
      <w:ind w:firstLine="400"/>
    </w:pPr>
    <w:rPr>
      <w:rFonts w:ascii="PMingLiU" w:hAnsi="PMingLiU" w:eastAsia="PMingLiU" w:cs="PMingLiU"/>
      <w:sz w:val="20"/>
      <w:szCs w:val="20"/>
    </w:rPr>
  </w:style>
  <w:style w:type="paragraph" w:customStyle="1" w:styleId="16">
    <w:name w:val="Table Paragraph"/>
    <w:basedOn w:val="1"/>
    <w:qFormat/>
    <w:uiPriority w:val="1"/>
    <w:pPr>
      <w:autoSpaceDE w:val="0"/>
      <w:autoSpaceDN w:val="0"/>
    </w:pPr>
    <w:rPr>
      <w:rFonts w:ascii="宋体" w:hAnsi="宋体" w:eastAsia="宋体" w:cs="宋体"/>
      <w:color w:val="auto"/>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2021-03-24T02:29:00Z</dcterms:created>
  <dc:creator>Administrator</dc:creator>
  <cp:lastModifiedBy>Super X</cp:lastModifiedBy>
  <dcterms:modified xsi:type="dcterms:W3CDTF">2021-03-26T08:12:59Z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EC324FFCE4B446E5A1F62DC913468664</vt:lpwstr>
  </property>
</Properties>
</file>