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rPr>
        <w:t>《海口市琼山区云龙镇休闲运动片区控制性详细规划A-15-3地块规划</w:t>
      </w:r>
    </w:p>
    <w:p>
      <w:pPr>
        <w:spacing w:line="60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rPr>
        <w:t>修改论证报告》简介</w:t>
      </w:r>
    </w:p>
    <w:p>
      <w:pPr>
        <w:jc w:val="center"/>
        <w:rPr>
          <w:b/>
          <w:color w:val="FF0000"/>
          <w:sz w:val="30"/>
          <w:szCs w:val="30"/>
        </w:rPr>
      </w:pPr>
    </w:p>
    <w:p>
      <w:pPr>
        <w:pStyle w:val="2"/>
        <w:ind w:firstLine="630" w:firstLineChars="196"/>
        <w:rPr>
          <w:rFonts w:ascii="Adobe 仿宋 Std R" w:hAnsi="Adobe 仿宋 Std R" w:eastAsia="Adobe 仿宋 Std R"/>
          <w:sz w:val="32"/>
          <w:szCs w:val="32"/>
        </w:rPr>
      </w:pPr>
      <w:r>
        <w:rPr>
          <w:rFonts w:hint="eastAsia" w:ascii="Adobe 仿宋 Std R" w:hAnsi="Adobe 仿宋 Std R" w:eastAsia="Adobe 仿宋 Std R"/>
          <w:sz w:val="32"/>
          <w:szCs w:val="32"/>
        </w:rPr>
        <w:t>一、用地现状及周边情况分析</w:t>
      </w:r>
    </w:p>
    <w:p>
      <w:pPr>
        <w:spacing w:line="360" w:lineRule="auto"/>
        <w:ind w:left="13" w:leftChars="6" w:right="151" w:rightChars="72" w:firstLine="681" w:firstLineChars="212"/>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 xml:space="preserve">论证地块交通便利，区位优势明显。论证地块较为规整，长轴约380米，短轴约171-271米不等，面积为87654平方米。地块现状为杂木林地，西、北侧为中信台达国际C区住宅小区，东侧为那英村及北布村，南侧为云龙产业园。 </w:t>
      </w:r>
    </w:p>
    <w:p>
      <w:pPr>
        <w:spacing w:line="360" w:lineRule="auto"/>
        <w:ind w:left="13" w:leftChars="6" w:right="151" w:rightChars="72" w:firstLine="643" w:firstLineChars="20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 xml:space="preserve">二、地块原用地性质：A-15-3地块属于云龙镇休闲运动片区控规中的休闲居住板块，用地性质为旅馆用地， </w:t>
      </w:r>
    </w:p>
    <w:p>
      <w:pPr>
        <w:spacing w:line="540" w:lineRule="exact"/>
        <w:ind w:firstLine="482" w:firstLineChars="15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三、修改缘由</w:t>
      </w:r>
    </w:p>
    <w:p>
      <w:pPr>
        <w:spacing w:line="360" w:lineRule="auto"/>
        <w:ind w:left="13" w:leftChars="6" w:right="151" w:rightChars="72" w:firstLine="643" w:firstLineChars="20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正在开工扩建的海榆东线国道预征用地也占用到那英村及北布村两村的留用地 , 为了解決村庄发展及村民就业问题，提高村民经济收入。两村经村民代表开会研究決定 ,依托云龙产业园和美三机场临空产业园的区域位置优势,共同将该用地打造成海南独具特色度假酒店产业化集群。</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用地在《海口市琼山区云龙镇休闲运动片区控制性详细规划》为A-15-3地块，用地性质为旅馆用地，容积率为0.8；因开发建设规模过低，无法满足建设酒店群的设计规模要求，为节约集约利用土地资源，需修改该地块的规划指标。</w:t>
      </w:r>
    </w:p>
    <w:p>
      <w:pPr>
        <w:spacing w:line="540" w:lineRule="exact"/>
        <w:ind w:firstLine="643" w:firstLineChars="20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四、论证内容</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为了满足建设集商务酒店、商务办公、商业于一体的酒店群的需求，达到酒店的合理建设规模，拟调整A-15-3地块指标。</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（1）用地性质拟由旅馆用地（B14）修改为商业服务业设施用地（B）。</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（2）容积率指标的调整主要考虑合理的规模要求，根据论证分析，容积率控制在1.8。</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具体详见下表。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3340"/>
        <w:gridCol w:w="3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名称</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修改前</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修改后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用地编码</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A-15-3</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A-15-3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用地面积</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87654平方米</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87654平方米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用地代码</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B14</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用地性质</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旅馆用地</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商业服务业设施用地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容积率</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0.8</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建筑密度</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40％</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建筑高度</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36米</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绿地率</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30％</w:t>
            </w:r>
          </w:p>
        </w:tc>
        <w:tc>
          <w:tcPr>
            <w:tcW w:w="1843" w:type="pct"/>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30％</w:t>
            </w:r>
          </w:p>
        </w:tc>
      </w:tr>
    </w:tbl>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注：修改后的商业服务业设施用地（B）为大类，其中含旅馆用地（B14）不得低于总计容建筑面积的60％；零售商业用地（B11）不得高于总计容建筑面积为20％；商务用地（B2）不得高于总计容建筑面积为20％。</w:t>
      </w:r>
    </w:p>
    <w:p>
      <w:pPr>
        <w:spacing w:line="540" w:lineRule="exact"/>
        <w:ind w:firstLine="643" w:firstLineChars="20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五、论证依据</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《中华人民共和国城乡规划法》（2019年修正）、《城市规划编制办法》（建规【2005】146号）、《城市、镇控制性详细规划编制审批办法》、国家、省、市其他相关法律法规和标准规范。</w:t>
      </w:r>
    </w:p>
    <w:p>
      <w:pPr>
        <w:spacing w:line="540" w:lineRule="exact"/>
        <w:ind w:firstLine="643" w:firstLineChars="20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六、用地性质论证分析</w:t>
      </w:r>
    </w:p>
    <w:p>
      <w:pPr>
        <w:widowControl/>
        <w:spacing w:line="360" w:lineRule="auto"/>
        <w:ind w:firstLine="630" w:firstLineChars="196"/>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本项目拟建设集酒店、商务、商业于一体的旅游度假区，需配套相应的服务设施用地，用地性质拟由旅馆用地（B14），调整为大类的商业服务业设施用地（B），其中含旅馆用地（B14）、零售商业用地（B11）及商务用地（B2），用地性质以旅馆业为主。</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2、用地性质修改符合省政府相关文件精神，符合</w:t>
      </w:r>
      <w:r>
        <w:rPr>
          <w:rFonts w:ascii="Adobe 仿宋 Std R" w:hAnsi="Adobe 仿宋 Std R" w:eastAsia="Adobe 仿宋 Std R" w:cs="Times New Roman"/>
          <w:b/>
          <w:bCs/>
          <w:kern w:val="44"/>
          <w:sz w:val="32"/>
          <w:szCs w:val="32"/>
        </w:rPr>
        <w:t>琼府〔201</w:t>
      </w:r>
      <w:r>
        <w:rPr>
          <w:rFonts w:hint="eastAsia" w:ascii="Adobe 仿宋 Std R" w:hAnsi="Adobe 仿宋 Std R" w:eastAsia="Adobe 仿宋 Std R" w:cs="Times New Roman"/>
          <w:b/>
          <w:bCs/>
          <w:kern w:val="44"/>
          <w:sz w:val="32"/>
          <w:szCs w:val="32"/>
        </w:rPr>
        <w:t>9</w:t>
      </w:r>
      <w:r>
        <w:rPr>
          <w:rFonts w:ascii="Adobe 仿宋 Std R" w:hAnsi="Adobe 仿宋 Std R" w:eastAsia="Adobe 仿宋 Std R" w:cs="Times New Roman"/>
          <w:b/>
          <w:bCs/>
          <w:kern w:val="44"/>
          <w:sz w:val="32"/>
          <w:szCs w:val="32"/>
        </w:rPr>
        <w:t>〕</w:t>
      </w:r>
      <w:r>
        <w:rPr>
          <w:rFonts w:hint="eastAsia" w:ascii="Adobe 仿宋 Std R" w:hAnsi="Adobe 仿宋 Std R" w:eastAsia="Adobe 仿宋 Std R" w:cs="Times New Roman"/>
          <w:b/>
          <w:bCs/>
          <w:kern w:val="44"/>
          <w:sz w:val="32"/>
          <w:szCs w:val="32"/>
        </w:rPr>
        <w:t>13</w:t>
      </w:r>
      <w:r>
        <w:rPr>
          <w:rFonts w:ascii="Adobe 仿宋 Std R" w:hAnsi="Adobe 仿宋 Std R" w:eastAsia="Adobe 仿宋 Std R" w:cs="Times New Roman"/>
          <w:b/>
          <w:bCs/>
          <w:kern w:val="44"/>
          <w:sz w:val="32"/>
          <w:szCs w:val="32"/>
        </w:rPr>
        <w:t>号</w:t>
      </w:r>
      <w:r>
        <w:rPr>
          <w:rFonts w:hint="eastAsia" w:ascii="Adobe 仿宋 Std R" w:hAnsi="Adobe 仿宋 Std R" w:eastAsia="Adobe 仿宋 Std R" w:cs="Times New Roman"/>
          <w:b/>
          <w:bCs/>
          <w:kern w:val="44"/>
          <w:sz w:val="32"/>
          <w:szCs w:val="32"/>
        </w:rPr>
        <w:t>文的相关规定，即符合《海南省人民政府关于支持产业项目发展规划和用地保障的意见 （试行）》中的第二条。</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第二条：</w:t>
      </w:r>
      <w:r>
        <w:rPr>
          <w:rFonts w:ascii="Adobe 仿宋 Std R" w:hAnsi="Adobe 仿宋 Std R" w:eastAsia="Adobe 仿宋 Std R" w:cs="Times New Roman"/>
          <w:b/>
          <w:bCs/>
          <w:kern w:val="44"/>
          <w:sz w:val="32"/>
          <w:szCs w:val="32"/>
        </w:rPr>
        <w:t>鼓励规划用途混合弹性利用。优化控制性详细规划编制，综合考虑空间、布局、产业融合等因素，鼓励工业、仓储、研发、办公、商业等规划用途混合布局、空间设施共享，并明确两种或两种以上规划用途混合的类型和比例等内容。对交通区位条件可能发生重大改变或者当下未能明确发展方向的区域，可根据实际需要，规划为暂不明确用途的留白空间。</w:t>
      </w:r>
    </w:p>
    <w:p>
      <w:pPr>
        <w:widowControl/>
        <w:spacing w:line="360" w:lineRule="auto"/>
        <w:ind w:firstLine="630" w:firstLineChars="196"/>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 xml:space="preserve">3、基于以上分析，用地性质的修改是合理的，符合省、市政府的相关文件精神，符合海南省产业发展方向及产业结构调整、优化的相关需求。    </w:t>
      </w:r>
    </w:p>
    <w:p>
      <w:pPr>
        <w:pStyle w:val="2"/>
        <w:ind w:firstLine="482" w:firstLineChars="150"/>
        <w:rPr>
          <w:rFonts w:ascii="Adobe 仿宋 Std R" w:hAnsi="Adobe 仿宋 Std R" w:eastAsia="Adobe 仿宋 Std R"/>
          <w:sz w:val="32"/>
          <w:szCs w:val="32"/>
        </w:rPr>
      </w:pPr>
      <w:bookmarkStart w:id="0" w:name="_Toc34407021"/>
      <w:r>
        <w:rPr>
          <w:rFonts w:hint="eastAsia" w:ascii="Adobe 仿宋 Std R" w:hAnsi="Adobe 仿宋 Std R" w:eastAsia="Adobe 仿宋 Std R"/>
          <w:sz w:val="32"/>
          <w:szCs w:val="32"/>
        </w:rPr>
        <w:t>七、规模论证分析</w:t>
      </w:r>
      <w:bookmarkEnd w:id="0"/>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结合周边旅馆用地的开发强度，参考相关案例的开发强度，拟按1.8容积率控制该项目，其中旅馆建设规模不得低于总计容建筑面积的60％；零售商业建设规模不得高于总计容建筑面积为20％；商务建设规模不得高于总计容建筑面积为20％，能满足酒店管理公司的建设需求。</w:t>
      </w:r>
    </w:p>
    <w:p>
      <w:pPr>
        <w:pStyle w:val="2"/>
        <w:ind w:firstLine="321" w:firstLineChars="100"/>
        <w:rPr>
          <w:rFonts w:ascii="Adobe 仿宋 Std R" w:hAnsi="Adobe 仿宋 Std R" w:eastAsia="Adobe 仿宋 Std R"/>
          <w:sz w:val="32"/>
          <w:szCs w:val="32"/>
        </w:rPr>
      </w:pPr>
      <w:r>
        <w:rPr>
          <w:rFonts w:hint="eastAsia" w:ascii="Adobe 仿宋 Std R" w:hAnsi="Adobe 仿宋 Std R" w:eastAsia="Adobe 仿宋 Std R"/>
          <w:sz w:val="32"/>
          <w:szCs w:val="32"/>
        </w:rPr>
        <w:t>八、建筑密度分析</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1、建筑密度由控规的40%调整为35%。</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2、因项目用地的建筑密度为40%，导致与原有的绿地率不能闭合，在满足产业建设的前提下，相应的建筑密度相应调整。</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3、根据海口市城市规划管理技术规定(表3.2.1)，参考金融、行政办公、城市酒店，建筑密度应≤35％。</w:t>
      </w:r>
    </w:p>
    <w:p>
      <w:pPr>
        <w:ind w:firstLine="1124" w:firstLineChars="35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表</w:t>
      </w:r>
      <w:r>
        <w:rPr>
          <w:rFonts w:ascii="Adobe 仿宋 Std R" w:hAnsi="Adobe 仿宋 Std R" w:eastAsia="Adobe 仿宋 Std R" w:cs="Times New Roman"/>
          <w:b/>
          <w:bCs/>
          <w:kern w:val="44"/>
          <w:sz w:val="32"/>
          <w:szCs w:val="32"/>
        </w:rPr>
        <w:t>3.</w:t>
      </w:r>
      <w:r>
        <w:rPr>
          <w:rFonts w:hint="eastAsia" w:ascii="Adobe 仿宋 Std R" w:hAnsi="Adobe 仿宋 Std R" w:eastAsia="Adobe 仿宋 Std R" w:cs="Times New Roman"/>
          <w:b/>
          <w:bCs/>
          <w:kern w:val="44"/>
          <w:sz w:val="32"/>
          <w:szCs w:val="32"/>
        </w:rPr>
        <w:t>2</w:t>
      </w:r>
      <w:r>
        <w:rPr>
          <w:rFonts w:ascii="Adobe 仿宋 Std R" w:hAnsi="Adobe 仿宋 Std R" w:eastAsia="Adobe 仿宋 Std R" w:cs="Times New Roman"/>
          <w:b/>
          <w:bCs/>
          <w:kern w:val="44"/>
          <w:sz w:val="32"/>
          <w:szCs w:val="32"/>
        </w:rPr>
        <w:t>.</w:t>
      </w:r>
      <w:r>
        <w:rPr>
          <w:rFonts w:hint="eastAsia" w:ascii="Adobe 仿宋 Std R" w:hAnsi="Adobe 仿宋 Std R" w:eastAsia="Adobe 仿宋 Std R" w:cs="Times New Roman"/>
          <w:b/>
          <w:bCs/>
          <w:kern w:val="44"/>
          <w:sz w:val="32"/>
          <w:szCs w:val="32"/>
        </w:rPr>
        <w:t xml:space="preserve">1               </w:t>
      </w:r>
    </w:p>
    <w:tbl>
      <w:tblPr>
        <w:tblStyle w:val="7"/>
        <w:tblW w:w="0" w:type="auto"/>
        <w:jc w:val="center"/>
        <w:tblLayout w:type="fixed"/>
        <w:tblCellMar>
          <w:top w:w="0" w:type="dxa"/>
          <w:left w:w="0" w:type="dxa"/>
          <w:bottom w:w="0" w:type="dxa"/>
          <w:right w:w="0" w:type="dxa"/>
        </w:tblCellMar>
      </w:tblPr>
      <w:tblGrid>
        <w:gridCol w:w="1543"/>
        <w:gridCol w:w="1650"/>
        <w:gridCol w:w="1246"/>
        <w:gridCol w:w="868"/>
        <w:gridCol w:w="811"/>
        <w:gridCol w:w="868"/>
        <w:gridCol w:w="728"/>
        <w:gridCol w:w="652"/>
      </w:tblGrid>
      <w:tr>
        <w:tblPrEx>
          <w:tblCellMar>
            <w:top w:w="0" w:type="dxa"/>
            <w:left w:w="0" w:type="dxa"/>
            <w:bottom w:w="0" w:type="dxa"/>
            <w:right w:w="0" w:type="dxa"/>
          </w:tblCellMar>
        </w:tblPrEx>
        <w:trPr>
          <w:jc w:val="center"/>
        </w:trPr>
        <w:tc>
          <w:tcPr>
            <w:tcW w:w="3193" w:type="dxa"/>
            <w:gridSpan w:val="2"/>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ascii="Adobe 仿宋 Std R" w:hAnsi="Adobe 仿宋 Std R" w:eastAsia="Adobe 仿宋 Std R"/>
                <w:b/>
                <w:bCs/>
                <w:color w:val="auto"/>
                <w:kern w:val="44"/>
                <w:sz w:val="32"/>
                <w:szCs w:val="32"/>
              </w:rPr>
              <w:t xml:space="preserve">  </w:t>
            </w:r>
          </w:p>
        </w:tc>
        <w:tc>
          <w:tcPr>
            <w:tcW w:w="2114" w:type="dxa"/>
            <w:gridSpan w:val="2"/>
            <w:tcBorders>
              <w:top w:val="single" w:color="000000" w:sz="8" w:space="0"/>
              <w:left w:val="nil"/>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建筑密度</w:t>
            </w:r>
          </w:p>
        </w:tc>
        <w:tc>
          <w:tcPr>
            <w:tcW w:w="1679" w:type="dxa"/>
            <w:gridSpan w:val="2"/>
            <w:tcBorders>
              <w:top w:val="single" w:color="000000" w:sz="8" w:space="0"/>
              <w:left w:val="nil"/>
              <w:bottom w:val="single" w:color="000000" w:sz="8" w:space="0"/>
              <w:right w:val="single" w:color="auto" w:sz="8" w:space="0"/>
            </w:tcBorders>
            <w:tcMar>
              <w:top w:w="0" w:type="dxa"/>
              <w:left w:w="108" w:type="dxa"/>
              <w:bottom w:w="0" w:type="dxa"/>
              <w:right w:w="108" w:type="dxa"/>
            </w:tcMa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容积率</w:t>
            </w:r>
          </w:p>
        </w:tc>
        <w:tc>
          <w:tcPr>
            <w:tcW w:w="1380" w:type="dxa"/>
            <w:gridSpan w:val="2"/>
            <w:tcBorders>
              <w:top w:val="single" w:color="000000" w:sz="8" w:space="0"/>
              <w:left w:val="single" w:color="auto"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绿地率</w:t>
            </w:r>
          </w:p>
        </w:tc>
      </w:tr>
      <w:tr>
        <w:tblPrEx>
          <w:tblCellMar>
            <w:top w:w="0" w:type="dxa"/>
            <w:left w:w="0" w:type="dxa"/>
            <w:bottom w:w="0" w:type="dxa"/>
            <w:right w:w="0" w:type="dxa"/>
          </w:tblCellMar>
        </w:tblPrEx>
        <w:trPr>
          <w:jc w:val="center"/>
        </w:trPr>
        <w:tc>
          <w:tcPr>
            <w:tcW w:w="3193" w:type="dxa"/>
            <w:gridSpan w:val="2"/>
            <w:tcBorders>
              <w:top w:val="nil"/>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p>
        </w:tc>
        <w:tc>
          <w:tcPr>
            <w:tcW w:w="1246" w:type="dxa"/>
            <w:tcBorders>
              <w:top w:val="nil"/>
              <w:left w:val="nil"/>
              <w:bottom w:val="single" w:color="000000" w:sz="8" w:space="0"/>
              <w:right w:val="single" w:color="000000" w:sz="8" w:space="0"/>
            </w:tcBorders>
            <w:vAlign w:val="cente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小区</w:t>
            </w:r>
          </w:p>
        </w:tc>
        <w:tc>
          <w:tcPr>
            <w:tcW w:w="868" w:type="dxa"/>
            <w:tcBorders>
              <w:top w:val="nil"/>
              <w:left w:val="nil"/>
              <w:bottom w:val="single" w:color="000000" w:sz="8" w:space="0"/>
              <w:right w:val="single" w:color="000000" w:sz="8" w:space="0"/>
            </w:tcBorders>
            <w:vAlign w:val="cente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组团</w:t>
            </w:r>
          </w:p>
        </w:tc>
        <w:tc>
          <w:tcPr>
            <w:tcW w:w="811" w:type="dxa"/>
            <w:tcBorders>
              <w:top w:val="nil"/>
              <w:left w:val="nil"/>
              <w:bottom w:val="single" w:color="000000" w:sz="8" w:space="0"/>
              <w:right w:val="single" w:color="000000" w:sz="8" w:space="0"/>
            </w:tcBorders>
            <w:vAlign w:val="cente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小区</w:t>
            </w:r>
          </w:p>
        </w:tc>
        <w:tc>
          <w:tcPr>
            <w:tcW w:w="868" w:type="dxa"/>
            <w:tcBorders>
              <w:top w:val="nil"/>
              <w:left w:val="nil"/>
              <w:bottom w:val="single" w:color="000000" w:sz="8" w:space="0"/>
              <w:right w:val="single" w:color="auto" w:sz="8" w:space="0"/>
            </w:tcBorders>
            <w:tcMar>
              <w:top w:w="0" w:type="dxa"/>
              <w:left w:w="108" w:type="dxa"/>
              <w:bottom w:w="0" w:type="dxa"/>
              <w:right w:w="108" w:type="dxa"/>
            </w:tcMar>
            <w:vAlign w:val="cente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组团</w:t>
            </w:r>
          </w:p>
        </w:tc>
        <w:tc>
          <w:tcPr>
            <w:tcW w:w="728" w:type="dxa"/>
            <w:tcBorders>
              <w:top w:val="nil"/>
              <w:left w:val="single" w:color="auto" w:sz="8" w:space="0"/>
              <w:bottom w:val="single" w:color="000000" w:sz="8" w:space="0"/>
              <w:right w:val="single" w:color="auto" w:sz="4" w:space="0"/>
            </w:tcBorders>
            <w:vAlign w:val="cente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小区</w:t>
            </w:r>
          </w:p>
        </w:tc>
        <w:tc>
          <w:tcPr>
            <w:tcW w:w="652" w:type="dxa"/>
            <w:tcBorders>
              <w:top w:val="nil"/>
              <w:left w:val="single" w:color="auto" w:sz="4" w:space="0"/>
              <w:bottom w:val="single" w:color="000000" w:sz="8" w:space="0"/>
              <w:right w:val="single" w:color="000000" w:sz="8" w:space="0"/>
            </w:tcBorders>
            <w:vAlign w:val="cente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组团</w:t>
            </w:r>
          </w:p>
        </w:tc>
      </w:tr>
      <w:tr>
        <w:tblPrEx>
          <w:tblCellMar>
            <w:top w:w="0" w:type="dxa"/>
            <w:left w:w="0" w:type="dxa"/>
            <w:bottom w:w="0" w:type="dxa"/>
            <w:right w:w="0" w:type="dxa"/>
          </w:tblCellMar>
        </w:tblPrEx>
        <w:trPr>
          <w:cantSplit/>
          <w:jc w:val="center"/>
        </w:trPr>
        <w:tc>
          <w:tcPr>
            <w:tcW w:w="3193" w:type="dxa"/>
            <w:gridSpan w:val="2"/>
            <w:tcBorders>
              <w:top w:val="nil"/>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 xml:space="preserve">低层独立式住宅 </w:t>
            </w:r>
          </w:p>
        </w:tc>
        <w:tc>
          <w:tcPr>
            <w:tcW w:w="1246"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1</w:t>
            </w:r>
            <w:r>
              <w:rPr>
                <w:rFonts w:hint="eastAsia" w:ascii="Adobe 仿宋 Std R" w:hAnsi="Adobe 仿宋 Std R" w:eastAsia="Adobe 仿宋 Std R"/>
                <w:b/>
                <w:bCs/>
                <w:color w:val="auto"/>
                <w:kern w:val="44"/>
                <w:sz w:val="32"/>
                <w:szCs w:val="32"/>
              </w:rPr>
              <w:t>2％</w:t>
            </w:r>
          </w:p>
        </w:tc>
        <w:tc>
          <w:tcPr>
            <w:tcW w:w="868"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1</w:t>
            </w:r>
            <w:r>
              <w:rPr>
                <w:rFonts w:hint="eastAsia" w:ascii="Adobe 仿宋 Std R" w:hAnsi="Adobe 仿宋 Std R" w:eastAsia="Adobe 仿宋 Std R"/>
                <w:b/>
                <w:bCs/>
                <w:color w:val="auto"/>
                <w:kern w:val="44"/>
                <w:sz w:val="32"/>
                <w:szCs w:val="32"/>
              </w:rPr>
              <w:t>5％</w:t>
            </w:r>
          </w:p>
        </w:tc>
        <w:tc>
          <w:tcPr>
            <w:tcW w:w="811"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0.3</w:t>
            </w:r>
          </w:p>
        </w:tc>
        <w:tc>
          <w:tcPr>
            <w:tcW w:w="868" w:type="dxa"/>
            <w:tcBorders>
              <w:top w:val="nil"/>
              <w:left w:val="nil"/>
              <w:bottom w:val="single" w:color="000000" w:sz="8" w:space="0"/>
              <w:right w:val="single" w:color="auto" w:sz="8" w:space="0"/>
            </w:tcBorders>
            <w:tcMar>
              <w:top w:w="0" w:type="dxa"/>
              <w:left w:w="108" w:type="dxa"/>
              <w:bottom w:w="0" w:type="dxa"/>
              <w:right w:w="108" w:type="dxa"/>
            </w:tcMar>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0.35</w:t>
            </w:r>
          </w:p>
        </w:tc>
        <w:tc>
          <w:tcPr>
            <w:tcW w:w="1380" w:type="dxa"/>
            <w:gridSpan w:val="2"/>
            <w:tcBorders>
              <w:top w:val="nil"/>
              <w:left w:val="single" w:color="auto"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≥45％</w:t>
            </w:r>
          </w:p>
        </w:tc>
      </w:tr>
      <w:tr>
        <w:tblPrEx>
          <w:tblCellMar>
            <w:top w:w="0" w:type="dxa"/>
            <w:left w:w="0" w:type="dxa"/>
            <w:bottom w:w="0" w:type="dxa"/>
            <w:right w:w="0" w:type="dxa"/>
          </w:tblCellMar>
        </w:tblPrEx>
        <w:trPr>
          <w:jc w:val="center"/>
        </w:trPr>
        <w:tc>
          <w:tcPr>
            <w:tcW w:w="3193" w:type="dxa"/>
            <w:gridSpan w:val="2"/>
            <w:tcBorders>
              <w:top w:val="nil"/>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低层连排式住宅</w:t>
            </w:r>
          </w:p>
        </w:tc>
        <w:tc>
          <w:tcPr>
            <w:tcW w:w="1246"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≤22％</w:t>
            </w:r>
          </w:p>
        </w:tc>
        <w:tc>
          <w:tcPr>
            <w:tcW w:w="868"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≤25％</w:t>
            </w:r>
          </w:p>
        </w:tc>
        <w:tc>
          <w:tcPr>
            <w:tcW w:w="811"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≤0.5</w:t>
            </w:r>
          </w:p>
        </w:tc>
        <w:tc>
          <w:tcPr>
            <w:tcW w:w="868" w:type="dxa"/>
            <w:tcBorders>
              <w:top w:val="nil"/>
              <w:left w:val="nil"/>
              <w:bottom w:val="single" w:color="000000" w:sz="8" w:space="0"/>
              <w:right w:val="single" w:color="auto" w:sz="8" w:space="0"/>
            </w:tcBorders>
            <w:tcMar>
              <w:top w:w="0" w:type="dxa"/>
              <w:left w:w="108" w:type="dxa"/>
              <w:bottom w:w="0" w:type="dxa"/>
              <w:right w:w="108" w:type="dxa"/>
            </w:tcMar>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≤0.6</w:t>
            </w:r>
          </w:p>
        </w:tc>
        <w:tc>
          <w:tcPr>
            <w:tcW w:w="1380" w:type="dxa"/>
            <w:gridSpan w:val="2"/>
            <w:tcBorders>
              <w:top w:val="nil"/>
              <w:left w:val="single" w:color="auto"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≥40％</w:t>
            </w:r>
          </w:p>
        </w:tc>
      </w:tr>
      <w:tr>
        <w:tblPrEx>
          <w:tblCellMar>
            <w:top w:w="0" w:type="dxa"/>
            <w:left w:w="0" w:type="dxa"/>
            <w:bottom w:w="0" w:type="dxa"/>
            <w:right w:w="0" w:type="dxa"/>
          </w:tblCellMar>
        </w:tblPrEx>
        <w:trPr>
          <w:jc w:val="center"/>
        </w:trPr>
        <w:tc>
          <w:tcPr>
            <w:tcW w:w="3193" w:type="dxa"/>
            <w:gridSpan w:val="2"/>
            <w:tcBorders>
              <w:top w:val="nil"/>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多层住宅</w:t>
            </w:r>
          </w:p>
        </w:tc>
        <w:tc>
          <w:tcPr>
            <w:tcW w:w="1246"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2</w:t>
            </w:r>
            <w:r>
              <w:rPr>
                <w:rFonts w:hint="eastAsia" w:ascii="Adobe 仿宋 Std R" w:hAnsi="Adobe 仿宋 Std R" w:eastAsia="Adobe 仿宋 Std R"/>
                <w:b/>
                <w:bCs/>
                <w:color w:val="auto"/>
                <w:kern w:val="44"/>
                <w:sz w:val="32"/>
                <w:szCs w:val="32"/>
              </w:rPr>
              <w:t>0％</w:t>
            </w:r>
          </w:p>
        </w:tc>
        <w:tc>
          <w:tcPr>
            <w:tcW w:w="868"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≤25％</w:t>
            </w:r>
          </w:p>
        </w:tc>
        <w:tc>
          <w:tcPr>
            <w:tcW w:w="811"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1.</w:t>
            </w:r>
            <w:r>
              <w:rPr>
                <w:rFonts w:hint="eastAsia" w:ascii="Adobe 仿宋 Std R" w:hAnsi="Adobe 仿宋 Std R" w:eastAsia="Adobe 仿宋 Std R"/>
                <w:b/>
                <w:bCs/>
                <w:color w:val="auto"/>
                <w:kern w:val="44"/>
                <w:sz w:val="32"/>
                <w:szCs w:val="32"/>
              </w:rPr>
              <w:t>0</w:t>
            </w:r>
          </w:p>
        </w:tc>
        <w:tc>
          <w:tcPr>
            <w:tcW w:w="868" w:type="dxa"/>
            <w:tcBorders>
              <w:top w:val="nil"/>
              <w:left w:val="nil"/>
              <w:bottom w:val="single" w:color="000000" w:sz="8" w:space="0"/>
              <w:right w:val="single" w:color="auto" w:sz="8" w:space="0"/>
            </w:tcBorders>
            <w:tcMar>
              <w:top w:w="0" w:type="dxa"/>
              <w:left w:w="108" w:type="dxa"/>
              <w:bottom w:w="0" w:type="dxa"/>
              <w:right w:w="108" w:type="dxa"/>
            </w:tcMar>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1.</w:t>
            </w:r>
            <w:r>
              <w:rPr>
                <w:rFonts w:hint="eastAsia" w:ascii="Adobe 仿宋 Std R" w:hAnsi="Adobe 仿宋 Std R" w:eastAsia="Adobe 仿宋 Std R"/>
                <w:b/>
                <w:bCs/>
                <w:color w:val="auto"/>
                <w:kern w:val="44"/>
                <w:sz w:val="32"/>
                <w:szCs w:val="32"/>
              </w:rPr>
              <w:t>2</w:t>
            </w:r>
          </w:p>
        </w:tc>
        <w:tc>
          <w:tcPr>
            <w:tcW w:w="1380" w:type="dxa"/>
            <w:gridSpan w:val="2"/>
            <w:tcBorders>
              <w:top w:val="nil"/>
              <w:left w:val="single" w:color="auto"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≥35％</w:t>
            </w:r>
          </w:p>
        </w:tc>
      </w:tr>
      <w:tr>
        <w:tblPrEx>
          <w:tblCellMar>
            <w:top w:w="0" w:type="dxa"/>
            <w:left w:w="0" w:type="dxa"/>
            <w:bottom w:w="0" w:type="dxa"/>
            <w:right w:w="0" w:type="dxa"/>
          </w:tblCellMar>
        </w:tblPrEx>
        <w:trPr>
          <w:jc w:val="center"/>
        </w:trPr>
        <w:tc>
          <w:tcPr>
            <w:tcW w:w="3193" w:type="dxa"/>
            <w:gridSpan w:val="2"/>
            <w:tcBorders>
              <w:top w:val="nil"/>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中高层住宅</w:t>
            </w:r>
          </w:p>
        </w:tc>
        <w:tc>
          <w:tcPr>
            <w:tcW w:w="1246"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≤18％</w:t>
            </w:r>
          </w:p>
        </w:tc>
        <w:tc>
          <w:tcPr>
            <w:tcW w:w="868"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≤20％</w:t>
            </w:r>
          </w:p>
        </w:tc>
        <w:tc>
          <w:tcPr>
            <w:tcW w:w="811" w:type="dxa"/>
            <w:tcBorders>
              <w:top w:val="nil"/>
              <w:left w:val="nil"/>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w:t>
            </w:r>
            <w:r>
              <w:rPr>
                <w:rFonts w:ascii="Adobe 仿宋 Std R" w:hAnsi="Adobe 仿宋 Std R" w:eastAsia="Adobe 仿宋 Std R"/>
                <w:b/>
                <w:bCs/>
                <w:color w:val="auto"/>
                <w:kern w:val="44"/>
                <w:sz w:val="32"/>
                <w:szCs w:val="32"/>
              </w:rPr>
              <w:t>.</w:t>
            </w:r>
            <w:r>
              <w:rPr>
                <w:rFonts w:hint="eastAsia" w:ascii="Adobe 仿宋 Std R" w:hAnsi="Adobe 仿宋 Std R" w:eastAsia="Adobe 仿宋 Std R"/>
                <w:b/>
                <w:bCs/>
                <w:color w:val="auto"/>
                <w:kern w:val="44"/>
                <w:sz w:val="32"/>
                <w:szCs w:val="32"/>
              </w:rPr>
              <w:t>5</w:t>
            </w:r>
          </w:p>
        </w:tc>
        <w:tc>
          <w:tcPr>
            <w:tcW w:w="868" w:type="dxa"/>
            <w:tcBorders>
              <w:top w:val="nil"/>
              <w:left w:val="nil"/>
              <w:bottom w:val="single" w:color="000000" w:sz="8" w:space="0"/>
              <w:right w:val="single" w:color="auto" w:sz="8" w:space="0"/>
            </w:tcBorders>
            <w:tcMar>
              <w:top w:w="0" w:type="dxa"/>
              <w:left w:w="108" w:type="dxa"/>
              <w:bottom w:w="0" w:type="dxa"/>
              <w:right w:w="108" w:type="dxa"/>
            </w:tcMar>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w:t>
            </w:r>
            <w:r>
              <w:rPr>
                <w:rFonts w:ascii="Adobe 仿宋 Std R" w:hAnsi="Adobe 仿宋 Std R" w:eastAsia="Adobe 仿宋 Std R"/>
                <w:b/>
                <w:bCs/>
                <w:color w:val="auto"/>
                <w:kern w:val="44"/>
                <w:sz w:val="32"/>
                <w:szCs w:val="32"/>
              </w:rPr>
              <w:t>.</w:t>
            </w:r>
            <w:r>
              <w:rPr>
                <w:rFonts w:hint="eastAsia" w:ascii="Adobe 仿宋 Std R" w:hAnsi="Adobe 仿宋 Std R" w:eastAsia="Adobe 仿宋 Std R"/>
                <w:b/>
                <w:bCs/>
                <w:color w:val="auto"/>
                <w:kern w:val="44"/>
                <w:sz w:val="32"/>
                <w:szCs w:val="32"/>
              </w:rPr>
              <w:t>8</w:t>
            </w:r>
          </w:p>
        </w:tc>
        <w:tc>
          <w:tcPr>
            <w:tcW w:w="1380" w:type="dxa"/>
            <w:gridSpan w:val="2"/>
            <w:tcBorders>
              <w:top w:val="nil"/>
              <w:left w:val="single" w:color="auto" w:sz="8" w:space="0"/>
              <w:bottom w:val="single" w:color="auto"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≥35％</w:t>
            </w:r>
          </w:p>
        </w:tc>
      </w:tr>
      <w:tr>
        <w:tblPrEx>
          <w:tblCellMar>
            <w:top w:w="0" w:type="dxa"/>
            <w:left w:w="0" w:type="dxa"/>
            <w:bottom w:w="0" w:type="dxa"/>
            <w:right w:w="0" w:type="dxa"/>
          </w:tblCellMar>
        </w:tblPrEx>
        <w:trPr>
          <w:trHeight w:val="65"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tcPr>
          <w:p>
            <w:pPr>
              <w:pStyle w:val="14"/>
              <w:tabs>
                <w:tab w:val="center" w:pos="1062"/>
              </w:tabs>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高层住宅</w:t>
            </w:r>
          </w:p>
        </w:tc>
        <w:tc>
          <w:tcPr>
            <w:tcW w:w="1246" w:type="dxa"/>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≤16％</w:t>
            </w:r>
          </w:p>
        </w:tc>
        <w:tc>
          <w:tcPr>
            <w:tcW w:w="868" w:type="dxa"/>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≤18％</w:t>
            </w:r>
          </w:p>
        </w:tc>
        <w:tc>
          <w:tcPr>
            <w:tcW w:w="811" w:type="dxa"/>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2.</w:t>
            </w:r>
            <w:r>
              <w:rPr>
                <w:rFonts w:hint="eastAsia" w:ascii="Adobe 仿宋 Std R" w:hAnsi="Adobe 仿宋 Std R" w:eastAsia="Adobe 仿宋 Std R"/>
                <w:b/>
                <w:bCs/>
                <w:color w:val="auto"/>
                <w:kern w:val="44"/>
                <w:sz w:val="32"/>
                <w:szCs w:val="32"/>
              </w:rPr>
              <w:t>0</w:t>
            </w:r>
          </w:p>
        </w:tc>
        <w:tc>
          <w:tcPr>
            <w:tcW w:w="868" w:type="dxa"/>
            <w:tcBorders>
              <w:top w:val="single" w:color="000000" w:sz="8" w:space="0"/>
              <w:left w:val="single" w:color="000000" w:sz="8" w:space="0"/>
              <w:bottom w:val="single" w:color="000000" w:sz="8" w:space="0"/>
              <w:right w:val="single" w:color="auto" w:sz="8" w:space="0"/>
            </w:tcBorders>
            <w:tcMar>
              <w:top w:w="0" w:type="dxa"/>
              <w:left w:w="108" w:type="dxa"/>
              <w:bottom w:w="0" w:type="dxa"/>
              <w:right w:w="108" w:type="dxa"/>
            </w:tcMar>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≤2</w:t>
            </w:r>
            <w:r>
              <w:rPr>
                <w:rFonts w:ascii="Adobe 仿宋 Std R" w:hAnsi="Adobe 仿宋 Std R" w:eastAsia="Adobe 仿宋 Std R"/>
                <w:b/>
                <w:bCs/>
                <w:color w:val="auto"/>
                <w:kern w:val="44"/>
                <w:sz w:val="32"/>
                <w:szCs w:val="32"/>
              </w:rPr>
              <w:t>.</w:t>
            </w:r>
            <w:r>
              <w:rPr>
                <w:rFonts w:hint="eastAsia" w:ascii="Adobe 仿宋 Std R" w:hAnsi="Adobe 仿宋 Std R" w:eastAsia="Adobe 仿宋 Std R"/>
                <w:b/>
                <w:bCs/>
                <w:color w:val="auto"/>
                <w:kern w:val="44"/>
                <w:sz w:val="32"/>
                <w:szCs w:val="32"/>
              </w:rPr>
              <w:t>5</w:t>
            </w:r>
          </w:p>
        </w:tc>
        <w:tc>
          <w:tcPr>
            <w:tcW w:w="1380" w:type="dxa"/>
            <w:gridSpan w:val="2"/>
            <w:tcBorders>
              <w:top w:val="single" w:color="auto" w:sz="8" w:space="0"/>
              <w:left w:val="single" w:color="auto"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≥40％</w:t>
            </w:r>
          </w:p>
        </w:tc>
      </w:tr>
      <w:tr>
        <w:tblPrEx>
          <w:tblCellMar>
            <w:top w:w="0" w:type="dxa"/>
            <w:left w:w="0" w:type="dxa"/>
            <w:bottom w:w="0" w:type="dxa"/>
            <w:right w:w="0" w:type="dxa"/>
          </w:tblCellMar>
        </w:tblPrEx>
        <w:trPr>
          <w:cantSplit/>
          <w:trHeight w:val="65"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vAlign w:val="center"/>
          </w:tcPr>
          <w:p>
            <w:pP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大型零售商业和步行商业街</w:t>
            </w:r>
          </w:p>
        </w:tc>
        <w:tc>
          <w:tcPr>
            <w:tcW w:w="2114" w:type="dxa"/>
            <w:gridSpan w:val="2"/>
            <w:tcBorders>
              <w:top w:val="single" w:color="000000" w:sz="8" w:space="0"/>
              <w:left w:val="single" w:color="000000" w:sz="8" w:space="0"/>
              <w:bottom w:val="single" w:color="000000" w:sz="8" w:space="0"/>
              <w:right w:val="single" w:color="000000" w:sz="8" w:space="0"/>
            </w:tcBorders>
            <w:vAlign w:val="center"/>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≤40％</w:t>
            </w:r>
          </w:p>
        </w:tc>
        <w:tc>
          <w:tcPr>
            <w:tcW w:w="1679" w:type="dxa"/>
            <w:gridSpan w:val="2"/>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w:t>
            </w:r>
            <w:r>
              <w:rPr>
                <w:rFonts w:ascii="Adobe 仿宋 Std R" w:hAnsi="Adobe 仿宋 Std R" w:eastAsia="Adobe 仿宋 Std R" w:cs="Times New Roman"/>
                <w:b/>
                <w:bCs/>
                <w:kern w:val="44"/>
                <w:sz w:val="32"/>
                <w:szCs w:val="32"/>
              </w:rPr>
              <w:t>2.</w:t>
            </w:r>
            <w:r>
              <w:rPr>
                <w:rFonts w:hint="eastAsia" w:ascii="Adobe 仿宋 Std R" w:hAnsi="Adobe 仿宋 Std R" w:eastAsia="Adobe 仿宋 Std R" w:cs="Times New Roman"/>
                <w:b/>
                <w:bCs/>
                <w:kern w:val="44"/>
                <w:sz w:val="32"/>
                <w:szCs w:val="32"/>
              </w:rPr>
              <w:t>0</w:t>
            </w:r>
          </w:p>
        </w:tc>
        <w:tc>
          <w:tcPr>
            <w:tcW w:w="1380" w:type="dxa"/>
            <w:gridSpan w:val="2"/>
            <w:tcBorders>
              <w:top w:val="single" w:color="000000" w:sz="8" w:space="0"/>
              <w:left w:val="single" w:color="000000" w:sz="8" w:space="0"/>
              <w:bottom w:val="single" w:color="000000" w:sz="8" w:space="0"/>
              <w:right w:val="single" w:color="000000" w:sz="8" w:space="0"/>
            </w:tcBorders>
            <w:vAlign w:val="center"/>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≥20％</w:t>
            </w:r>
          </w:p>
        </w:tc>
      </w:tr>
      <w:tr>
        <w:tblPrEx>
          <w:tblCellMar>
            <w:top w:w="0" w:type="dxa"/>
            <w:left w:w="0" w:type="dxa"/>
            <w:bottom w:w="0" w:type="dxa"/>
            <w:right w:w="0" w:type="dxa"/>
          </w:tblCellMar>
        </w:tblPrEx>
        <w:trPr>
          <w:cantSplit/>
          <w:trHeight w:val="65"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vAlign w:val="center"/>
          </w:tcPr>
          <w:p>
            <w:pP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金融、行政办公、城市酒店</w:t>
            </w:r>
          </w:p>
        </w:tc>
        <w:tc>
          <w:tcPr>
            <w:tcW w:w="2114" w:type="dxa"/>
            <w:gridSpan w:val="2"/>
            <w:tcBorders>
              <w:top w:val="single" w:color="000000" w:sz="8" w:space="0"/>
              <w:left w:val="single" w:color="000000" w:sz="8" w:space="0"/>
              <w:bottom w:val="single" w:color="000000" w:sz="8" w:space="0"/>
              <w:right w:val="single" w:color="000000" w:sz="8" w:space="0"/>
            </w:tcBorders>
            <w:vAlign w:val="center"/>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≤35％</w:t>
            </w:r>
          </w:p>
        </w:tc>
        <w:tc>
          <w:tcPr>
            <w:tcW w:w="1679" w:type="dxa"/>
            <w:gridSpan w:val="2"/>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≤2.5</w:t>
            </w:r>
          </w:p>
        </w:tc>
        <w:tc>
          <w:tcPr>
            <w:tcW w:w="1380" w:type="dxa"/>
            <w:gridSpan w:val="2"/>
            <w:tcBorders>
              <w:top w:val="single" w:color="000000" w:sz="8" w:space="0"/>
              <w:left w:val="single" w:color="000000" w:sz="8" w:space="0"/>
              <w:bottom w:val="single" w:color="000000" w:sz="8" w:space="0"/>
              <w:right w:val="single" w:color="000000" w:sz="8" w:space="0"/>
            </w:tcBorders>
            <w:vAlign w:val="center"/>
          </w:tcPr>
          <w:p>
            <w:pPr>
              <w:jc w:val="center"/>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≥30％</w:t>
            </w:r>
          </w:p>
        </w:tc>
      </w:tr>
      <w:tr>
        <w:tblPrEx>
          <w:tblCellMar>
            <w:top w:w="0" w:type="dxa"/>
            <w:left w:w="0" w:type="dxa"/>
            <w:bottom w:w="0" w:type="dxa"/>
            <w:right w:w="0" w:type="dxa"/>
          </w:tblCellMar>
        </w:tblPrEx>
        <w:trPr>
          <w:cantSplit/>
          <w:trHeight w:val="65" w:hRule="atLeast"/>
          <w:jc w:val="center"/>
        </w:trPr>
        <w:tc>
          <w:tcPr>
            <w:tcW w:w="1543" w:type="dxa"/>
            <w:vMerge w:val="restart"/>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rPr>
                <w:rFonts w:ascii="Adobe 仿宋 Std R" w:hAnsi="Adobe 仿宋 Std R" w:eastAsia="Adobe 仿宋 Std R"/>
                <w:b/>
                <w:bCs/>
                <w:color w:val="auto"/>
                <w:kern w:val="44"/>
                <w:sz w:val="32"/>
                <w:szCs w:val="32"/>
              </w:rPr>
            </w:pPr>
            <w:r>
              <w:rPr>
                <w:rFonts w:ascii="Adobe 仿宋 Std R" w:hAnsi="Adobe 仿宋 Std R" w:eastAsia="Adobe 仿宋 Std R"/>
                <w:b/>
                <w:bCs/>
                <w:color w:val="auto"/>
                <w:kern w:val="44"/>
                <w:sz w:val="32"/>
                <w:szCs w:val="32"/>
              </w:rPr>
              <w:t>旅游度假区建筑项目</w:t>
            </w:r>
          </w:p>
        </w:tc>
        <w:tc>
          <w:tcPr>
            <w:tcW w:w="1650" w:type="dxa"/>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ind w:firstLine="321" w:firstLineChars="100"/>
              <w:rPr>
                <w:rFonts w:ascii="Adobe 仿宋 Std R" w:hAnsi="Adobe 仿宋 Std R" w:eastAsia="Adobe 仿宋 Std R"/>
                <w:b/>
                <w:bCs/>
                <w:color w:val="auto"/>
                <w:kern w:val="44"/>
                <w:sz w:val="32"/>
                <w:szCs w:val="32"/>
              </w:rPr>
            </w:pPr>
            <w:r>
              <w:rPr>
                <w:rFonts w:ascii="Adobe 仿宋 Std R" w:hAnsi="Adobe 仿宋 Std R" w:eastAsia="Adobe 仿宋 Std R"/>
                <w:b/>
                <w:bCs/>
                <w:color w:val="auto"/>
                <w:kern w:val="44"/>
                <w:sz w:val="32"/>
                <w:szCs w:val="32"/>
              </w:rPr>
              <w:t>低层或别墅式</w:t>
            </w:r>
          </w:p>
        </w:tc>
        <w:tc>
          <w:tcPr>
            <w:tcW w:w="2114" w:type="dxa"/>
            <w:gridSpan w:val="2"/>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≤12％</w:t>
            </w:r>
          </w:p>
        </w:tc>
        <w:tc>
          <w:tcPr>
            <w:tcW w:w="1679" w:type="dxa"/>
            <w:gridSpan w:val="2"/>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0.3</w:t>
            </w:r>
          </w:p>
        </w:tc>
        <w:tc>
          <w:tcPr>
            <w:tcW w:w="1380" w:type="dxa"/>
            <w:gridSpan w:val="2"/>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≥55％</w:t>
            </w:r>
          </w:p>
        </w:tc>
      </w:tr>
      <w:tr>
        <w:tblPrEx>
          <w:tblCellMar>
            <w:top w:w="0" w:type="dxa"/>
            <w:left w:w="0" w:type="dxa"/>
            <w:bottom w:w="0" w:type="dxa"/>
            <w:right w:w="0" w:type="dxa"/>
          </w:tblCellMar>
        </w:tblPrEx>
        <w:trPr>
          <w:cantSplit/>
          <w:trHeight w:val="65" w:hRule="atLeast"/>
          <w:jc w:val="center"/>
        </w:trPr>
        <w:tc>
          <w:tcPr>
            <w:tcW w:w="1543" w:type="dxa"/>
            <w:vMerge w:val="continue"/>
            <w:tcBorders>
              <w:top w:val="single" w:color="000000" w:sz="8" w:space="0"/>
              <w:left w:val="single" w:color="000000" w:sz="8" w:space="0"/>
              <w:bottom w:val="single" w:color="000000" w:sz="8" w:space="0"/>
              <w:right w:val="single" w:color="000000" w:sz="8" w:space="0"/>
            </w:tcBorders>
          </w:tcPr>
          <w:p>
            <w:pPr>
              <w:pStyle w:val="14"/>
              <w:tabs>
                <w:tab w:val="center" w:pos="1062"/>
              </w:tabs>
              <w:adjustRightInd w:val="0"/>
              <w:snapToGrid w:val="0"/>
              <w:spacing w:line="240" w:lineRule="atLeast"/>
              <w:rPr>
                <w:rFonts w:ascii="Adobe 仿宋 Std R" w:hAnsi="Adobe 仿宋 Std R" w:eastAsia="Adobe 仿宋 Std R"/>
                <w:b/>
                <w:bCs/>
                <w:color w:val="auto"/>
                <w:kern w:val="44"/>
                <w:sz w:val="32"/>
                <w:szCs w:val="32"/>
              </w:rPr>
            </w:pPr>
          </w:p>
        </w:tc>
        <w:tc>
          <w:tcPr>
            <w:tcW w:w="1650" w:type="dxa"/>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ind w:firstLine="321" w:firstLineChars="100"/>
              <w:rPr>
                <w:rFonts w:ascii="Adobe 仿宋 Std R" w:hAnsi="Adobe 仿宋 Std R" w:eastAsia="Adobe 仿宋 Std R"/>
                <w:b/>
                <w:bCs/>
                <w:color w:val="auto"/>
                <w:kern w:val="44"/>
                <w:sz w:val="32"/>
                <w:szCs w:val="32"/>
              </w:rPr>
            </w:pPr>
            <w:r>
              <w:rPr>
                <w:rFonts w:ascii="Adobe 仿宋 Std R" w:hAnsi="Adobe 仿宋 Std R" w:eastAsia="Adobe 仿宋 Std R"/>
                <w:b/>
                <w:bCs/>
                <w:color w:val="auto"/>
                <w:kern w:val="44"/>
                <w:sz w:val="32"/>
                <w:szCs w:val="32"/>
              </w:rPr>
              <w:t>多层或集中式</w:t>
            </w:r>
          </w:p>
        </w:tc>
        <w:tc>
          <w:tcPr>
            <w:tcW w:w="2114" w:type="dxa"/>
            <w:gridSpan w:val="2"/>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≤15％</w:t>
            </w:r>
          </w:p>
        </w:tc>
        <w:tc>
          <w:tcPr>
            <w:tcW w:w="1679" w:type="dxa"/>
            <w:gridSpan w:val="2"/>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w:t>
            </w:r>
            <w:r>
              <w:rPr>
                <w:rFonts w:ascii="Adobe 仿宋 Std R" w:hAnsi="Adobe 仿宋 Std R" w:eastAsia="Adobe 仿宋 Std R"/>
                <w:b/>
                <w:bCs/>
                <w:color w:val="auto"/>
                <w:kern w:val="44"/>
                <w:sz w:val="32"/>
                <w:szCs w:val="32"/>
              </w:rPr>
              <w:t>0.</w:t>
            </w:r>
            <w:r>
              <w:rPr>
                <w:rFonts w:hint="eastAsia" w:ascii="Adobe 仿宋 Std R" w:hAnsi="Adobe 仿宋 Std R" w:eastAsia="Adobe 仿宋 Std R"/>
                <w:b/>
                <w:bCs/>
                <w:color w:val="auto"/>
                <w:kern w:val="44"/>
                <w:sz w:val="32"/>
                <w:szCs w:val="32"/>
              </w:rPr>
              <w:t>5</w:t>
            </w:r>
          </w:p>
        </w:tc>
        <w:tc>
          <w:tcPr>
            <w:tcW w:w="1380" w:type="dxa"/>
            <w:gridSpan w:val="2"/>
            <w:tcBorders>
              <w:top w:val="single" w:color="000000" w:sz="8" w:space="0"/>
              <w:left w:val="single" w:color="000000" w:sz="8" w:space="0"/>
              <w:bottom w:val="single" w:color="000000" w:sz="8" w:space="0"/>
              <w:right w:val="single" w:color="000000" w:sz="8" w:space="0"/>
            </w:tcBorders>
          </w:tcPr>
          <w:p>
            <w:pPr>
              <w:pStyle w:val="14"/>
              <w:adjustRightInd w:val="0"/>
              <w:snapToGrid w:val="0"/>
              <w:spacing w:line="240" w:lineRule="atLeast"/>
              <w:jc w:val="center"/>
              <w:rPr>
                <w:rFonts w:ascii="Adobe 仿宋 Std R" w:hAnsi="Adobe 仿宋 Std R" w:eastAsia="Adobe 仿宋 Std R"/>
                <w:b/>
                <w:bCs/>
                <w:color w:val="auto"/>
                <w:kern w:val="44"/>
                <w:sz w:val="32"/>
                <w:szCs w:val="32"/>
              </w:rPr>
            </w:pPr>
            <w:r>
              <w:rPr>
                <w:rFonts w:hint="eastAsia" w:ascii="Adobe 仿宋 Std R" w:hAnsi="Adobe 仿宋 Std R" w:eastAsia="Adobe 仿宋 Std R"/>
                <w:b/>
                <w:bCs/>
                <w:color w:val="auto"/>
                <w:kern w:val="44"/>
                <w:sz w:val="32"/>
                <w:szCs w:val="32"/>
              </w:rPr>
              <w:t>≥50％</w:t>
            </w:r>
          </w:p>
        </w:tc>
      </w:tr>
    </w:tbl>
    <w:p>
      <w:pPr>
        <w:spacing w:line="360" w:lineRule="auto"/>
        <w:ind w:left="13" w:leftChars="6" w:right="151" w:rightChars="72" w:firstLine="488"/>
        <w:rPr>
          <w:rFonts w:ascii="Adobe 仿宋 Std R" w:hAnsi="Adobe 仿宋 Std R" w:eastAsia="Adobe 仿宋 Std R" w:cs="Times New Roman"/>
          <w:b/>
          <w:bCs/>
          <w:kern w:val="44"/>
          <w:sz w:val="32"/>
          <w:szCs w:val="32"/>
        </w:rPr>
      </w:pP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4、结合规划设计方案，建筑密度为35%能满足地方规定的要求。</w:t>
      </w:r>
    </w:p>
    <w:p>
      <w:pPr>
        <w:pStyle w:val="2"/>
        <w:ind w:firstLine="482" w:firstLineChars="150"/>
        <w:rPr>
          <w:rFonts w:ascii="Adobe 仿宋 Std R" w:hAnsi="Adobe 仿宋 Std R" w:eastAsia="Adobe 仿宋 Std R"/>
          <w:sz w:val="32"/>
          <w:szCs w:val="32"/>
        </w:rPr>
      </w:pPr>
      <w:bookmarkStart w:id="1" w:name="_Toc34407023"/>
      <w:r>
        <w:rPr>
          <w:rFonts w:hint="eastAsia" w:ascii="Adobe 仿宋 Std R" w:hAnsi="Adobe 仿宋 Std R" w:eastAsia="Adobe 仿宋 Std R"/>
          <w:sz w:val="32"/>
          <w:szCs w:val="32"/>
        </w:rPr>
        <w:t>九、建筑退线分析</w:t>
      </w:r>
      <w:bookmarkEnd w:id="1"/>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项目建筑高度不变，建筑性质仍为非居住建筑，按原控规图则建筑退线进行控制，建筑退地块红线，南侧退9米，西侧退8米，北侧及东侧均退让4米，本项目建筑退道路红线及用地红线均能满足规定要求，详见建筑退线图。</w:t>
      </w:r>
    </w:p>
    <w:p>
      <w:pPr>
        <w:pStyle w:val="2"/>
        <w:ind w:firstLine="482" w:firstLineChars="150"/>
        <w:rPr>
          <w:rFonts w:ascii="Adobe 仿宋 Std R" w:hAnsi="Adobe 仿宋 Std R" w:eastAsia="Adobe 仿宋 Std R"/>
          <w:sz w:val="32"/>
          <w:szCs w:val="32"/>
        </w:rPr>
      </w:pPr>
      <w:bookmarkStart w:id="2" w:name="_Toc34407024"/>
      <w:r>
        <w:rPr>
          <w:rFonts w:hint="eastAsia" w:ascii="Adobe 仿宋 Std R" w:hAnsi="Adobe 仿宋 Std R" w:eastAsia="Adobe 仿宋 Std R"/>
          <w:sz w:val="32"/>
          <w:szCs w:val="32"/>
        </w:rPr>
        <w:t>十、公共设施分析</w:t>
      </w:r>
      <w:bookmarkEnd w:id="2"/>
    </w:p>
    <w:p>
      <w:pPr>
        <w:widowControl/>
        <w:spacing w:line="360" w:lineRule="auto"/>
        <w:ind w:firstLine="630" w:firstLineChars="196"/>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项目位于云龙镇休闲运动片区，拟建设一座商务主题酒店群，项目的建设将丰富海口及云龙镇的旅游产品，提升云龙镇酒店的接待规模与品质，对海口建设最精最美的省会城市具有带动作用。</w:t>
      </w:r>
    </w:p>
    <w:p>
      <w:pPr>
        <w:pStyle w:val="2"/>
        <w:ind w:firstLine="321" w:firstLineChars="100"/>
        <w:rPr>
          <w:rFonts w:ascii="Adobe 仿宋 Std R" w:hAnsi="Adobe 仿宋 Std R" w:eastAsia="Adobe 仿宋 Std R"/>
          <w:sz w:val="32"/>
          <w:szCs w:val="32"/>
        </w:rPr>
      </w:pPr>
      <w:bookmarkStart w:id="3" w:name="_Toc34407027"/>
      <w:r>
        <w:rPr>
          <w:rFonts w:hint="eastAsia" w:ascii="Adobe 仿宋 Std R" w:hAnsi="Adobe 仿宋 Std R" w:eastAsia="Adobe 仿宋 Std R"/>
          <w:sz w:val="32"/>
          <w:szCs w:val="32"/>
        </w:rPr>
        <w:t>十一、停车位分析</w:t>
      </w:r>
      <w:bookmarkEnd w:id="3"/>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根据《海口市城市规划管理技术规定》第二十条，配建停车场（库）的停车位指标应符合表3.4的规定。</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1、酒店区：其他星级宾馆按0.3-0.5车位/客房来计算，本项目酒店按1.0停车位</w:t>
      </w:r>
      <w:r>
        <w:rPr>
          <w:rFonts w:ascii="Adobe 仿宋 Std R" w:hAnsi="Adobe 仿宋 Std R" w:eastAsia="Adobe 仿宋 Std R" w:cs="Times New Roman"/>
          <w:b/>
          <w:bCs/>
          <w:kern w:val="44"/>
          <w:sz w:val="32"/>
          <w:szCs w:val="32"/>
        </w:rPr>
        <w:t>/1</w:t>
      </w:r>
      <w:r>
        <w:rPr>
          <w:rFonts w:hint="eastAsia" w:ascii="Adobe 仿宋 Std R" w:hAnsi="Adobe 仿宋 Std R" w:eastAsia="Adobe 仿宋 Std R" w:cs="Times New Roman"/>
          <w:b/>
          <w:bCs/>
          <w:kern w:val="44"/>
          <w:sz w:val="32"/>
          <w:szCs w:val="32"/>
        </w:rPr>
        <w:t>2</w:t>
      </w:r>
      <w:r>
        <w:rPr>
          <w:rFonts w:ascii="Adobe 仿宋 Std R" w:hAnsi="Adobe 仿宋 Std R" w:eastAsia="Adobe 仿宋 Std R" w:cs="Times New Roman"/>
          <w:b/>
          <w:bCs/>
          <w:kern w:val="44"/>
          <w:sz w:val="32"/>
          <w:szCs w:val="32"/>
        </w:rPr>
        <w:t>0m2</w:t>
      </w:r>
      <w:r>
        <w:rPr>
          <w:rFonts w:hint="eastAsia" w:ascii="Adobe 仿宋 Std R" w:hAnsi="Adobe 仿宋 Std R" w:eastAsia="Adobe 仿宋 Std R" w:cs="Times New Roman"/>
          <w:b/>
          <w:bCs/>
          <w:kern w:val="44"/>
          <w:sz w:val="32"/>
          <w:szCs w:val="32"/>
        </w:rPr>
        <w:t>执行，结合规划设计方案，本项目酒店建筑面积94666平方米，停车位为94666÷120×1.0=789个。</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2、商业区：商业建筑按停车位</w:t>
      </w:r>
      <w:r>
        <w:rPr>
          <w:rFonts w:ascii="Adobe 仿宋 Std R" w:hAnsi="Adobe 仿宋 Std R" w:eastAsia="Adobe 仿宋 Std R" w:cs="Times New Roman"/>
          <w:b/>
          <w:bCs/>
          <w:kern w:val="44"/>
          <w:sz w:val="32"/>
          <w:szCs w:val="32"/>
        </w:rPr>
        <w:t>/100m2</w:t>
      </w:r>
      <w:r>
        <w:rPr>
          <w:rFonts w:hint="eastAsia" w:ascii="Adobe 仿宋 Std R" w:hAnsi="Adobe 仿宋 Std R" w:eastAsia="Adobe 仿宋 Std R" w:cs="Times New Roman"/>
          <w:b/>
          <w:bCs/>
          <w:kern w:val="44"/>
          <w:sz w:val="32"/>
          <w:szCs w:val="32"/>
        </w:rPr>
        <w:t>建筑面积，小于等于</w:t>
      </w:r>
      <w:r>
        <w:rPr>
          <w:rFonts w:ascii="Adobe 仿宋 Std R" w:hAnsi="Adobe 仿宋 Std R" w:eastAsia="Adobe 仿宋 Std R" w:cs="Times New Roman"/>
          <w:b/>
          <w:bCs/>
          <w:kern w:val="44"/>
          <w:sz w:val="32"/>
          <w:szCs w:val="32"/>
        </w:rPr>
        <w:t>2000 m2</w:t>
      </w:r>
      <w:r>
        <w:rPr>
          <w:rFonts w:hint="eastAsia" w:ascii="Adobe 仿宋 Std R" w:hAnsi="Adobe 仿宋 Std R" w:eastAsia="Adobe 仿宋 Std R" w:cs="Times New Roman"/>
          <w:b/>
          <w:bCs/>
          <w:kern w:val="44"/>
          <w:sz w:val="32"/>
          <w:szCs w:val="32"/>
        </w:rPr>
        <w:t>部分取</w:t>
      </w:r>
      <w:r>
        <w:rPr>
          <w:rFonts w:ascii="Adobe 仿宋 Std R" w:hAnsi="Adobe 仿宋 Std R" w:eastAsia="Adobe 仿宋 Std R" w:cs="Times New Roman"/>
          <w:b/>
          <w:bCs/>
          <w:kern w:val="44"/>
          <w:sz w:val="32"/>
          <w:szCs w:val="32"/>
        </w:rPr>
        <w:t>2.0</w:t>
      </w:r>
      <w:r>
        <w:rPr>
          <w:rFonts w:hint="eastAsia" w:ascii="Adobe 仿宋 Std R" w:hAnsi="Adobe 仿宋 Std R" w:eastAsia="Adobe 仿宋 Std R" w:cs="Times New Roman"/>
          <w:b/>
          <w:bCs/>
          <w:kern w:val="44"/>
          <w:sz w:val="32"/>
          <w:szCs w:val="32"/>
        </w:rPr>
        <w:t>；超过</w:t>
      </w:r>
      <w:r>
        <w:rPr>
          <w:rFonts w:ascii="Adobe 仿宋 Std R" w:hAnsi="Adobe 仿宋 Std R" w:eastAsia="Adobe 仿宋 Std R" w:cs="Times New Roman"/>
          <w:b/>
          <w:bCs/>
          <w:kern w:val="44"/>
          <w:sz w:val="32"/>
          <w:szCs w:val="32"/>
        </w:rPr>
        <w:t>2000 m2</w:t>
      </w:r>
      <w:r>
        <w:rPr>
          <w:rFonts w:hint="eastAsia" w:ascii="Adobe 仿宋 Std R" w:hAnsi="Adobe 仿宋 Std R" w:eastAsia="Adobe 仿宋 Std R" w:cs="Times New Roman"/>
          <w:b/>
          <w:bCs/>
          <w:kern w:val="44"/>
          <w:sz w:val="32"/>
          <w:szCs w:val="32"/>
        </w:rPr>
        <w:t>的以</w:t>
      </w:r>
      <w:r>
        <w:rPr>
          <w:rFonts w:ascii="Adobe 仿宋 Std R" w:hAnsi="Adobe 仿宋 Std R" w:eastAsia="Adobe 仿宋 Std R" w:cs="Times New Roman"/>
          <w:b/>
          <w:bCs/>
          <w:kern w:val="44"/>
          <w:sz w:val="32"/>
          <w:szCs w:val="32"/>
        </w:rPr>
        <w:t>2000 m2</w:t>
      </w:r>
      <w:r>
        <w:rPr>
          <w:rFonts w:hint="eastAsia" w:ascii="Adobe 仿宋 Std R" w:hAnsi="Adobe 仿宋 Std R" w:eastAsia="Adobe 仿宋 Std R" w:cs="Times New Roman"/>
          <w:b/>
          <w:bCs/>
          <w:kern w:val="44"/>
          <w:sz w:val="32"/>
          <w:szCs w:val="32"/>
        </w:rPr>
        <w:t>为基数往上递增，递增部分取</w:t>
      </w:r>
      <w:r>
        <w:rPr>
          <w:rFonts w:ascii="Adobe 仿宋 Std R" w:hAnsi="Adobe 仿宋 Std R" w:eastAsia="Adobe 仿宋 Std R" w:cs="Times New Roman"/>
          <w:b/>
          <w:bCs/>
          <w:kern w:val="44"/>
          <w:sz w:val="32"/>
          <w:szCs w:val="32"/>
        </w:rPr>
        <w:t>0.</w:t>
      </w:r>
      <w:r>
        <w:rPr>
          <w:rFonts w:hint="eastAsia" w:ascii="Adobe 仿宋 Std R" w:hAnsi="Adobe 仿宋 Std R" w:eastAsia="Adobe 仿宋 Std R" w:cs="Times New Roman"/>
          <w:b/>
          <w:bCs/>
          <w:kern w:val="44"/>
          <w:sz w:val="32"/>
          <w:szCs w:val="32"/>
        </w:rPr>
        <w:t>8～</w:t>
      </w:r>
      <w:r>
        <w:rPr>
          <w:rFonts w:ascii="Adobe 仿宋 Std R" w:hAnsi="Adobe 仿宋 Std R" w:eastAsia="Adobe 仿宋 Std R" w:cs="Times New Roman"/>
          <w:b/>
          <w:bCs/>
          <w:kern w:val="44"/>
          <w:sz w:val="32"/>
          <w:szCs w:val="32"/>
        </w:rPr>
        <w:t>1.</w:t>
      </w:r>
      <w:r>
        <w:rPr>
          <w:rFonts w:hint="eastAsia" w:ascii="Adobe 仿宋 Std R" w:hAnsi="Adobe 仿宋 Std R" w:eastAsia="Adobe 仿宋 Std R" w:cs="Times New Roman"/>
          <w:b/>
          <w:bCs/>
          <w:kern w:val="44"/>
          <w:sz w:val="32"/>
          <w:szCs w:val="32"/>
        </w:rPr>
        <w:t>0。结合规划设计方案，本项目商业建筑面积31555平方米，停车位为2000÷100×2+29555÷100×0.8=276个。</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3、商务区：商务办公楼按新城区取1.8-2.2停车位</w:t>
      </w:r>
      <w:r>
        <w:rPr>
          <w:rFonts w:ascii="Adobe 仿宋 Std R" w:hAnsi="Adobe 仿宋 Std R" w:eastAsia="Adobe 仿宋 Std R" w:cs="Times New Roman"/>
          <w:b/>
          <w:bCs/>
          <w:kern w:val="44"/>
          <w:sz w:val="32"/>
          <w:szCs w:val="32"/>
        </w:rPr>
        <w:t>/100m2</w:t>
      </w:r>
      <w:r>
        <w:rPr>
          <w:rFonts w:hint="eastAsia" w:ascii="Adobe 仿宋 Std R" w:hAnsi="Adobe 仿宋 Std R" w:eastAsia="Adobe 仿宋 Std R" w:cs="Times New Roman"/>
          <w:b/>
          <w:bCs/>
          <w:kern w:val="44"/>
          <w:sz w:val="32"/>
          <w:szCs w:val="32"/>
        </w:rPr>
        <w:t>建筑面积，结合规划设计方案，本项目商务办公建筑面积31555平方米，停车位为31555÷100×1.8=568个。</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4、本项目总停车位为789＋276+568=1633个，本项目规划配置1633个停车位，能满足规定要求。</w:t>
      </w:r>
    </w:p>
    <w:p>
      <w:pPr>
        <w:pStyle w:val="2"/>
        <w:ind w:firstLine="482" w:firstLineChars="150"/>
        <w:rPr>
          <w:rFonts w:ascii="Adobe 仿宋 Std R" w:hAnsi="Adobe 仿宋 Std R" w:eastAsia="Adobe 仿宋 Std R"/>
          <w:sz w:val="32"/>
          <w:szCs w:val="32"/>
        </w:rPr>
      </w:pPr>
      <w:bookmarkStart w:id="4" w:name="_Toc34407028"/>
      <w:r>
        <w:rPr>
          <w:rFonts w:hint="eastAsia" w:ascii="Adobe 仿宋 Std R" w:hAnsi="Adobe 仿宋 Std R" w:eastAsia="Adobe 仿宋 Std R"/>
          <w:sz w:val="32"/>
          <w:szCs w:val="32"/>
        </w:rPr>
        <w:t>十二、日照分析</w:t>
      </w:r>
      <w:bookmarkEnd w:id="4"/>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根据海口市城市规划技术管理规定：住宅建筑间距应保证受遮挡的住宅获得日照要求的居住空间，其大寒日有效日照时间不应低于3小时。</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本案为非居住建筑，主要考虑对地块北侧住宅的日照影响，根据日照分析，本项目对北侧居住建筑的日照无影响，能达到大寒日3小时以上，符合规定的要求。</w:t>
      </w:r>
    </w:p>
    <w:p>
      <w:pPr>
        <w:pStyle w:val="2"/>
        <w:ind w:firstLine="482" w:firstLineChars="150"/>
        <w:rPr>
          <w:rFonts w:ascii="Adobe 仿宋 Std R" w:hAnsi="Adobe 仿宋 Std R" w:eastAsia="Adobe 仿宋 Std R"/>
          <w:sz w:val="32"/>
          <w:szCs w:val="32"/>
        </w:rPr>
      </w:pPr>
      <w:bookmarkStart w:id="5" w:name="_Toc34407029"/>
      <w:r>
        <w:rPr>
          <w:rFonts w:hint="eastAsia" w:ascii="Adobe 仿宋 Std R" w:hAnsi="Adobe 仿宋 Std R" w:eastAsia="Adobe 仿宋 Std R"/>
          <w:sz w:val="32"/>
          <w:szCs w:val="32"/>
        </w:rPr>
        <w:t>十三、消防分析</w:t>
      </w:r>
      <w:bookmarkEnd w:id="5"/>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该项目区内设置消防环路，并在区内设置消防登高面，符合消防设计规范的要求，详见消防分析图。</w:t>
      </w:r>
    </w:p>
    <w:p>
      <w:pPr>
        <w:pStyle w:val="2"/>
        <w:ind w:firstLine="321" w:firstLineChars="100"/>
        <w:rPr>
          <w:rFonts w:ascii="Adobe 仿宋 Std R" w:hAnsi="Adobe 仿宋 Std R" w:eastAsia="Adobe 仿宋 Std R"/>
          <w:sz w:val="32"/>
          <w:szCs w:val="32"/>
        </w:rPr>
      </w:pPr>
      <w:bookmarkStart w:id="6" w:name="_Toc34407030"/>
      <w:r>
        <w:rPr>
          <w:rFonts w:hint="eastAsia" w:ascii="Adobe 仿宋 Std R" w:hAnsi="Adobe 仿宋 Std R" w:eastAsia="Adobe 仿宋 Std R"/>
          <w:sz w:val="32"/>
          <w:szCs w:val="32"/>
        </w:rPr>
        <w:t>十四、绿化环境分析</w:t>
      </w:r>
      <w:bookmarkEnd w:id="6"/>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1、控规中本地块用地（A-15-3）绿地率为30%。</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2、项目地块拟建设商务主题酒店及配套一定比例的商业及商务服务，绿地率为30%。</w:t>
      </w:r>
    </w:p>
    <w:p>
      <w:pPr>
        <w:spacing w:line="360" w:lineRule="auto"/>
        <w:ind w:left="978" w:leftChars="236" w:right="151" w:rightChars="72" w:hanging="482" w:hangingChars="15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3、建议地面停车场均设置为绿荫停车场，以营造良好的庭院绿化环境。</w:t>
      </w:r>
    </w:p>
    <w:p>
      <w:pPr>
        <w:pStyle w:val="2"/>
        <w:ind w:firstLine="482" w:firstLineChars="150"/>
        <w:rPr>
          <w:rFonts w:ascii="Adobe 仿宋 Std R" w:hAnsi="Adobe 仿宋 Std R" w:eastAsia="Adobe 仿宋 Std R"/>
          <w:sz w:val="32"/>
          <w:szCs w:val="32"/>
        </w:rPr>
      </w:pPr>
      <w:bookmarkStart w:id="7" w:name="_Toc34407031"/>
      <w:r>
        <w:rPr>
          <w:rFonts w:hint="eastAsia" w:ascii="Adobe 仿宋 Std R" w:hAnsi="Adobe 仿宋 Std R" w:eastAsia="Adobe 仿宋 Std R"/>
          <w:sz w:val="32"/>
          <w:szCs w:val="32"/>
        </w:rPr>
        <w:t>十五、空间景观分析</w:t>
      </w:r>
      <w:bookmarkEnd w:id="7"/>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本项目位于康体运动景观风貌区东南部，建筑高度不变（36米），根据规划设计方案，本项目为的空间布局如图所示。</w:t>
      </w:r>
    </w:p>
    <w:p>
      <w:pPr>
        <w:spacing w:line="360" w:lineRule="auto"/>
        <w:ind w:left="13" w:leftChars="6" w:right="151" w:rightChars="72" w:firstLine="488"/>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项目西侧为台达别墅区，均为2层局部3层，北侧为9层的住宅楼，其余方向均为城市道路，该布局建筑方案对西侧及北侧空间景观基本无影响，项目的建设能提升城市品质，对东侧及南侧的城市空间景观具有积极的作用。</w:t>
      </w:r>
    </w:p>
    <w:p>
      <w:pPr>
        <w:spacing w:line="540" w:lineRule="exact"/>
        <w:ind w:firstLine="482" w:firstLineChars="150"/>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十六、论证结论</w:t>
      </w:r>
    </w:p>
    <w:p>
      <w:pPr>
        <w:spacing w:line="360" w:lineRule="auto"/>
        <w:ind w:firstLine="803" w:firstLineChars="250"/>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结论1、为了满足云龙镇北布村、那英村的产业建设需要，满足建设集商务酒店、商业、商务服务于一体的度假、休闲、商务等功能及规模要求，集约、节约利用珍贵的土地资源，应适当提高A-15-3地块的开发强度。</w:t>
      </w:r>
    </w:p>
    <w:p>
      <w:pPr>
        <w:spacing w:line="360" w:lineRule="auto"/>
        <w:ind w:firstLine="803" w:firstLineChars="250"/>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2、建设该综合型旅游度假村，能完善云龙镇的旅游配套服务功能，对完善机场周边的服务配套功能具有积极的作用。</w:t>
      </w:r>
    </w:p>
    <w:p>
      <w:pPr>
        <w:spacing w:line="360" w:lineRule="auto"/>
        <w:ind w:firstLine="643" w:firstLineChars="200"/>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 xml:space="preserve">综上，通过规划设计方案及论证分析，A-15-3地块调整规划指标后，对周边地块、交通容量影响、市政设施及城市空间景观等方面影响较小，对完善机场周边及云龙镇的城镇功能具有积极的作用，项目的调整符合控规调整要求。建议本项目论证后按程序报批，相关的报建方案需遵循控规调整条件，并应严格按照《海口市城市规划管理技术规定》执行。 </w:t>
      </w:r>
    </w:p>
    <w:p>
      <w:pPr>
        <w:spacing w:line="360" w:lineRule="auto"/>
        <w:ind w:right="151" w:rightChars="72" w:firstLine="643" w:firstLineChars="200"/>
        <w:jc w:val="left"/>
        <w:rPr>
          <w:rFonts w:ascii="Adobe 仿宋 Std R" w:hAnsi="Adobe 仿宋 Std R" w:eastAsia="Adobe 仿宋 Std R" w:cs="Times New Roman"/>
          <w:b/>
          <w:bCs/>
          <w:kern w:val="44"/>
          <w:sz w:val="32"/>
          <w:szCs w:val="32"/>
        </w:rPr>
      </w:pPr>
      <w:r>
        <w:rPr>
          <w:rFonts w:hint="eastAsia" w:ascii="Adobe 仿宋 Std R" w:hAnsi="Adobe 仿宋 Std R" w:eastAsia="Adobe 仿宋 Std R" w:cs="Times New Roman"/>
          <w:b/>
          <w:bCs/>
          <w:kern w:val="44"/>
          <w:sz w:val="32"/>
          <w:szCs w:val="32"/>
        </w:rPr>
        <w:t>从以上各方面的充分论证分析证明，本次论证指标技术上可行，并且项目建设能达到满足消防规范设计要求，项目建设可行。</w:t>
      </w:r>
    </w:p>
    <w:p>
      <w:pPr>
        <w:rPr>
          <w:rFonts w:ascii="Adobe 仿宋 Std R" w:hAnsi="Adobe 仿宋 Std R" w:eastAsia="Adobe 仿宋 Std R" w:cs="Times New Roman"/>
          <w:b/>
          <w:bCs/>
          <w:kern w:val="44"/>
          <w:sz w:val="32"/>
          <w:szCs w:val="32"/>
        </w:rPr>
      </w:pPr>
    </w:p>
    <w:p>
      <w:pPr>
        <w:rPr>
          <w:rFonts w:ascii="Adobe 仿宋 Std R" w:hAnsi="Adobe 仿宋 Std R" w:eastAsia="Adobe 仿宋 Std R" w:cs="Times New Roman"/>
          <w:b/>
          <w:bCs/>
          <w:kern w:val="44"/>
          <w:sz w:val="32"/>
          <w:szCs w:val="32"/>
        </w:rPr>
      </w:pPr>
    </w:p>
    <w:p>
      <w:pPr>
        <w:widowControl/>
        <w:jc w:val="left"/>
        <w:rPr>
          <w:rFonts w:ascii="Adobe 仿宋 Std R" w:hAnsi="Adobe 仿宋 Std R" w:eastAsia="Adobe 仿宋 Std R" w:cs="Times New Roman"/>
          <w:b/>
          <w:bCs/>
          <w:sz w:val="32"/>
          <w:szCs w:val="32"/>
        </w:rPr>
      </w:pPr>
      <w:r>
        <w:rPr>
          <w:rFonts w:hint="eastAsia" w:ascii="Adobe 仿宋 Std R" w:hAnsi="Adobe 仿宋 Std R" w:eastAsia="Adobe 仿宋 Std R" w:cs="Times New Roman"/>
          <w:b/>
          <w:bCs/>
          <w:sz w:val="32"/>
          <w:szCs w:val="32"/>
        </w:rPr>
        <w:t>十七、附图</w:t>
      </w:r>
    </w:p>
    <w:p>
      <w:pPr>
        <w:widowControl/>
        <w:jc w:val="left"/>
        <w:rPr>
          <w:rFonts w:ascii="Adobe 仿宋 Std R" w:hAnsi="Adobe 仿宋 Std R" w:eastAsia="Adobe 仿宋 Std R"/>
          <w:sz w:val="32"/>
          <w:szCs w:val="32"/>
        </w:rPr>
      </w:pPr>
      <w:r>
        <w:rPr>
          <w:rFonts w:hint="eastAsia" w:ascii="Adobe 仿宋 Std R" w:hAnsi="Adobe 仿宋 Std R" w:eastAsia="Adobe 仿宋 Std R"/>
          <w:sz w:val="32"/>
          <w:szCs w:val="32"/>
        </w:rPr>
        <w:t>（一）地块位置图</w:t>
      </w:r>
    </w:p>
    <w:p>
      <w:pPr>
        <w:widowControl/>
        <w:jc w:val="left"/>
        <w:rPr>
          <w:sz w:val="28"/>
          <w:szCs w:val="28"/>
        </w:rPr>
      </w:pPr>
      <w:r>
        <w:rPr>
          <w:sz w:val="28"/>
          <w:szCs w:val="28"/>
        </w:rPr>
        <w:drawing>
          <wp:inline distT="0" distB="0" distL="0" distR="0">
            <wp:extent cx="6052820" cy="4680585"/>
            <wp:effectExtent l="19050" t="0" r="4966" b="0"/>
            <wp:docPr id="1" name="图片 0" descr="1d32874558fc429e324f177a41c9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d32874558fc429e324f177a41c9ce8.jpg"/>
                    <pic:cNvPicPr>
                      <a:picLocks noChangeAspect="1"/>
                    </pic:cNvPicPr>
                  </pic:nvPicPr>
                  <pic:blipFill>
                    <a:blip r:embed="rId6" cstate="print"/>
                    <a:stretch>
                      <a:fillRect/>
                    </a:stretch>
                  </pic:blipFill>
                  <pic:spPr>
                    <a:xfrm>
                      <a:off x="0" y="0"/>
                      <a:ext cx="6058884" cy="4685785"/>
                    </a:xfrm>
                    <a:prstGeom prst="rect">
                      <a:avLst/>
                    </a:prstGeom>
                  </pic:spPr>
                </pic:pic>
              </a:graphicData>
            </a:graphic>
          </wp:inline>
        </w:drawing>
      </w:r>
    </w:p>
    <w:p>
      <w:pPr>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sz w:val="28"/>
          <w:szCs w:val="28"/>
        </w:rPr>
      </w:pPr>
      <w:r>
        <w:rPr>
          <w:rFonts w:hint="eastAsia"/>
          <w:sz w:val="28"/>
          <w:szCs w:val="28"/>
        </w:rPr>
        <w:t>（二）A-15-3地块修改前的分图则</w:t>
      </w:r>
    </w:p>
    <w:p>
      <w:pPr>
        <w:widowControl/>
        <w:jc w:val="left"/>
        <w:rPr>
          <w:sz w:val="28"/>
          <w:szCs w:val="28"/>
        </w:rPr>
      </w:pPr>
      <w:r>
        <w:rPr>
          <w:sz w:val="28"/>
          <w:szCs w:val="28"/>
        </w:rPr>
        <w:drawing>
          <wp:inline distT="0" distB="0" distL="0" distR="0">
            <wp:extent cx="5616575" cy="3972560"/>
            <wp:effectExtent l="19050" t="0" r="3175" b="0"/>
            <wp:docPr id="3" name="图片 2" descr="bdd3da5ec6aef79952f8dd291105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bdd3da5ec6aef79952f8dd291105aa1.jpg"/>
                    <pic:cNvPicPr>
                      <a:picLocks noChangeAspect="1"/>
                    </pic:cNvPicPr>
                  </pic:nvPicPr>
                  <pic:blipFill>
                    <a:blip r:embed="rId7" cstate="print"/>
                    <a:stretch>
                      <a:fillRect/>
                    </a:stretch>
                  </pic:blipFill>
                  <pic:spPr>
                    <a:xfrm>
                      <a:off x="0" y="0"/>
                      <a:ext cx="5616575" cy="3972560"/>
                    </a:xfrm>
                    <a:prstGeom prst="rect">
                      <a:avLst/>
                    </a:prstGeom>
                  </pic:spPr>
                </pic:pic>
              </a:graphicData>
            </a:graphic>
          </wp:inline>
        </w:drawing>
      </w:r>
    </w:p>
    <w:p>
      <w:pPr>
        <w:widowControl/>
        <w:jc w:val="left"/>
        <w:rPr>
          <w:sz w:val="28"/>
          <w:szCs w:val="28"/>
        </w:rPr>
      </w:pPr>
    </w:p>
    <w:p>
      <w:pPr>
        <w:widowControl/>
        <w:jc w:val="left"/>
        <w:rPr>
          <w:sz w:val="28"/>
          <w:szCs w:val="28"/>
        </w:rPr>
      </w:pPr>
      <w:r>
        <w:rPr>
          <w:sz w:val="28"/>
          <w:szCs w:val="28"/>
        </w:rPr>
        <w:br w:type="page"/>
      </w:r>
    </w:p>
    <w:p>
      <w:pPr>
        <w:jc w:val="center"/>
        <w:rPr>
          <w:sz w:val="28"/>
          <w:szCs w:val="28"/>
        </w:rPr>
      </w:pPr>
    </w:p>
    <w:p>
      <w:pPr>
        <w:rPr>
          <w:sz w:val="28"/>
          <w:szCs w:val="28"/>
        </w:rPr>
      </w:pPr>
      <w:r>
        <w:rPr>
          <w:rFonts w:hint="eastAsia"/>
          <w:sz w:val="28"/>
          <w:szCs w:val="28"/>
        </w:rPr>
        <w:t>（三）A-15-3地块修改后的分图则</w:t>
      </w:r>
    </w:p>
    <w:p>
      <w:pPr>
        <w:rPr>
          <w:sz w:val="28"/>
          <w:szCs w:val="28"/>
        </w:rPr>
        <w:sectPr>
          <w:footerReference r:id="rId3" w:type="default"/>
          <w:footerReference r:id="rId4" w:type="even"/>
          <w:pgSz w:w="11906" w:h="16838"/>
          <w:pgMar w:top="1361" w:right="1474" w:bottom="1361" w:left="1587" w:header="851" w:footer="992" w:gutter="0"/>
          <w:pgNumType w:fmt="numberInDash" w:start="1"/>
          <w:cols w:space="425" w:num="1"/>
          <w:docGrid w:type="lines" w:linePitch="312" w:charSpace="0"/>
        </w:sectPr>
      </w:pPr>
      <w:r>
        <w:rPr>
          <w:sz w:val="28"/>
          <w:szCs w:val="28"/>
        </w:rPr>
        <w:drawing>
          <wp:inline distT="0" distB="0" distL="0" distR="0">
            <wp:extent cx="5616575" cy="3973195"/>
            <wp:effectExtent l="19050" t="0" r="3175" b="0"/>
            <wp:docPr id="4" name="图片 3" descr="fe2aba6c6ad5481767444ecd762f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e2aba6c6ad5481767444ecd762f65b.jpg"/>
                    <pic:cNvPicPr>
                      <a:picLocks noChangeAspect="1"/>
                    </pic:cNvPicPr>
                  </pic:nvPicPr>
                  <pic:blipFill>
                    <a:blip r:embed="rId8" cstate="print"/>
                    <a:stretch>
                      <a:fillRect/>
                    </a:stretch>
                  </pic:blipFill>
                  <pic:spPr>
                    <a:xfrm>
                      <a:off x="0" y="0"/>
                      <a:ext cx="5616575" cy="3973195"/>
                    </a:xfrm>
                    <a:prstGeom prst="rect">
                      <a:avLst/>
                    </a:prstGeom>
                  </pic:spPr>
                </pic:pic>
              </a:graphicData>
            </a:graphic>
          </wp:inline>
        </w:drawing>
      </w:r>
    </w:p>
    <w:p>
      <w:pPr>
        <w:jc w:val="left"/>
        <w:sectPr>
          <w:pgSz w:w="11906" w:h="16838"/>
          <w:pgMar w:top="1361" w:right="1474" w:bottom="1361" w:left="1587" w:header="851" w:footer="992" w:gutter="0"/>
          <w:pgNumType w:fmt="numberInDash"/>
          <w:cols w:space="425" w:num="1"/>
          <w:docGrid w:type="lines" w:linePitch="312" w:charSpace="0"/>
        </w:sectPr>
      </w:pPr>
    </w:p>
    <w:p>
      <w:pPr>
        <w:rPr>
          <w:sz w:val="28"/>
          <w:szCs w:val="28"/>
        </w:rPr>
      </w:pPr>
      <w:bookmarkStart w:id="8" w:name="_GoBack"/>
      <w:bookmarkEnd w:id="8"/>
    </w:p>
    <w:sectPr>
      <w:pgSz w:w="11906" w:h="16838"/>
      <w:pgMar w:top="1361" w:right="1474" w:bottom="1361"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altName w:val="微软雅黑"/>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5040"/>
      </w:tabs>
      <w:rPr>
        <w:rFonts w:ascii="黑体" w:hAnsi="黑体" w:eastAsia="黑体"/>
      </w:rPr>
    </w:pPr>
    <w:r>
      <w:pict>
        <v:shape id="_x0000_s2049" o:spid="_x0000_s2049" o:spt="202" type="#_x0000_t202" style="position:absolute;left:0pt;margin-top:0pt;height:144pt;width:144pt;mso-position-horizontal:lef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4"/>
                  <w:tabs>
                    <w:tab w:val="left" w:pos="5040"/>
                  </w:tabs>
                </w:pPr>
                <w:r>
                  <w:tab/>
                </w:r>
                <w:sdt>
                  <w:sdtPr>
                    <w:id w:val="1275975211"/>
                  </w:sdtPr>
                  <w:sdtEndPr>
                    <w:rPr>
                      <w:rFonts w:ascii="黑体" w:hAnsi="黑体" w:eastAsia="黑体"/>
                    </w:rPr>
                  </w:sdtEndPr>
                  <w:sdtContent>
                    <w:r>
                      <w:rPr>
                        <w:rFonts w:ascii="黑体" w:hAnsi="黑体" w:eastAsia="黑体"/>
                      </w:rPr>
                      <w:fldChar w:fldCharType="begin"/>
                    </w:r>
                    <w:r>
                      <w:rPr>
                        <w:rFonts w:ascii="黑体" w:hAnsi="黑体" w:eastAsia="黑体"/>
                      </w:rPr>
                      <w:instrText xml:space="preserve">PAGE   \* MERGEFORMAT</w:instrText>
                    </w:r>
                    <w:r>
                      <w:rPr>
                        <w:rFonts w:ascii="黑体" w:hAnsi="黑体" w:eastAsia="黑体"/>
                      </w:rPr>
                      <w:fldChar w:fldCharType="separate"/>
                    </w:r>
                    <w:r>
                      <w:rPr>
                        <w:rFonts w:ascii="黑体" w:hAnsi="黑体" w:eastAsia="黑体"/>
                        <w:lang w:val="zh-CN"/>
                      </w:rPr>
                      <w:t>-</w:t>
                    </w:r>
                    <w:r>
                      <w:rPr>
                        <w:rFonts w:ascii="黑体" w:hAnsi="黑体" w:eastAsia="黑体"/>
                      </w:rPr>
                      <w:t xml:space="preserve"> 8 -</w:t>
                    </w:r>
                    <w:r>
                      <w:rPr>
                        <w:rFonts w:ascii="黑体" w:hAnsi="黑体" w:eastAsia="黑体"/>
                      </w:rPr>
                      <w:fldChar w:fldCharType="end"/>
                    </w:r>
                  </w:sdtContent>
                </w:sdt>
                <w:r>
                  <w:rPr>
                    <w:rFonts w:ascii="黑体" w:hAnsi="黑体" w:eastAsia="黑体"/>
                  </w:rPr>
                  <w:tab/>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Q3ZDcyMDBiNTUyZDhhOTAyYzk1NTIzYzhlZWQyNTcifQ=="/>
  </w:docVars>
  <w:rsids>
    <w:rsidRoot w:val="0072492F"/>
    <w:rsid w:val="000231AE"/>
    <w:rsid w:val="0004449E"/>
    <w:rsid w:val="000704D7"/>
    <w:rsid w:val="000842ED"/>
    <w:rsid w:val="000D398F"/>
    <w:rsid w:val="000D49A0"/>
    <w:rsid w:val="00101B2D"/>
    <w:rsid w:val="0011683B"/>
    <w:rsid w:val="00117683"/>
    <w:rsid w:val="00126F1C"/>
    <w:rsid w:val="00141B6C"/>
    <w:rsid w:val="0014728C"/>
    <w:rsid w:val="0015237C"/>
    <w:rsid w:val="00172ABC"/>
    <w:rsid w:val="00192901"/>
    <w:rsid w:val="00195788"/>
    <w:rsid w:val="001D3ECC"/>
    <w:rsid w:val="001F11A8"/>
    <w:rsid w:val="002051B4"/>
    <w:rsid w:val="00211035"/>
    <w:rsid w:val="00213A42"/>
    <w:rsid w:val="002140EF"/>
    <w:rsid w:val="002441ED"/>
    <w:rsid w:val="00250F83"/>
    <w:rsid w:val="0025317A"/>
    <w:rsid w:val="002636E4"/>
    <w:rsid w:val="002D75B0"/>
    <w:rsid w:val="00313C19"/>
    <w:rsid w:val="00315E35"/>
    <w:rsid w:val="003207DA"/>
    <w:rsid w:val="003260F8"/>
    <w:rsid w:val="00336FE3"/>
    <w:rsid w:val="00381E5B"/>
    <w:rsid w:val="00391A24"/>
    <w:rsid w:val="00395111"/>
    <w:rsid w:val="00395FC0"/>
    <w:rsid w:val="003A6ABA"/>
    <w:rsid w:val="003C76D7"/>
    <w:rsid w:val="003D72CA"/>
    <w:rsid w:val="003D7591"/>
    <w:rsid w:val="003F6460"/>
    <w:rsid w:val="00417927"/>
    <w:rsid w:val="00493513"/>
    <w:rsid w:val="0049740F"/>
    <w:rsid w:val="004D1482"/>
    <w:rsid w:val="005060AF"/>
    <w:rsid w:val="00513E03"/>
    <w:rsid w:val="00531E2D"/>
    <w:rsid w:val="00537B8D"/>
    <w:rsid w:val="00564A53"/>
    <w:rsid w:val="005744EC"/>
    <w:rsid w:val="005D7D27"/>
    <w:rsid w:val="005E3B30"/>
    <w:rsid w:val="006120C1"/>
    <w:rsid w:val="00630449"/>
    <w:rsid w:val="00633667"/>
    <w:rsid w:val="006433CC"/>
    <w:rsid w:val="0069365F"/>
    <w:rsid w:val="00697FC2"/>
    <w:rsid w:val="006C4AAD"/>
    <w:rsid w:val="006C4C06"/>
    <w:rsid w:val="00717616"/>
    <w:rsid w:val="0072492F"/>
    <w:rsid w:val="00734B54"/>
    <w:rsid w:val="0074476F"/>
    <w:rsid w:val="00765722"/>
    <w:rsid w:val="00796F3B"/>
    <w:rsid w:val="007A3788"/>
    <w:rsid w:val="007F2406"/>
    <w:rsid w:val="008006E2"/>
    <w:rsid w:val="00805D69"/>
    <w:rsid w:val="00820417"/>
    <w:rsid w:val="008229CF"/>
    <w:rsid w:val="008267E5"/>
    <w:rsid w:val="00826F48"/>
    <w:rsid w:val="008712C1"/>
    <w:rsid w:val="008A7135"/>
    <w:rsid w:val="008D618A"/>
    <w:rsid w:val="00931340"/>
    <w:rsid w:val="0095076B"/>
    <w:rsid w:val="009769FE"/>
    <w:rsid w:val="009A3D9B"/>
    <w:rsid w:val="009B4FB0"/>
    <w:rsid w:val="009D4C1B"/>
    <w:rsid w:val="009D4C7E"/>
    <w:rsid w:val="009D5CFB"/>
    <w:rsid w:val="009E548A"/>
    <w:rsid w:val="00A070BF"/>
    <w:rsid w:val="00A11720"/>
    <w:rsid w:val="00A17098"/>
    <w:rsid w:val="00A30CE9"/>
    <w:rsid w:val="00A56A51"/>
    <w:rsid w:val="00A62DA6"/>
    <w:rsid w:val="00A66512"/>
    <w:rsid w:val="00A9598D"/>
    <w:rsid w:val="00AA76F1"/>
    <w:rsid w:val="00AF0837"/>
    <w:rsid w:val="00B14F34"/>
    <w:rsid w:val="00B247F2"/>
    <w:rsid w:val="00B31EDB"/>
    <w:rsid w:val="00B32941"/>
    <w:rsid w:val="00B35017"/>
    <w:rsid w:val="00B4738B"/>
    <w:rsid w:val="00B66E4A"/>
    <w:rsid w:val="00B7565C"/>
    <w:rsid w:val="00B77DA5"/>
    <w:rsid w:val="00B93920"/>
    <w:rsid w:val="00BA67A5"/>
    <w:rsid w:val="00BD481F"/>
    <w:rsid w:val="00BD4E14"/>
    <w:rsid w:val="00C02CF1"/>
    <w:rsid w:val="00C162E7"/>
    <w:rsid w:val="00C17022"/>
    <w:rsid w:val="00C447E0"/>
    <w:rsid w:val="00C519AA"/>
    <w:rsid w:val="00C60D7A"/>
    <w:rsid w:val="00C65B97"/>
    <w:rsid w:val="00C7081A"/>
    <w:rsid w:val="00C832E8"/>
    <w:rsid w:val="00CA004A"/>
    <w:rsid w:val="00CA1A19"/>
    <w:rsid w:val="00CA5A8F"/>
    <w:rsid w:val="00CB0865"/>
    <w:rsid w:val="00CC252D"/>
    <w:rsid w:val="00CC4FAE"/>
    <w:rsid w:val="00CD2490"/>
    <w:rsid w:val="00CF10D6"/>
    <w:rsid w:val="00CF1D9A"/>
    <w:rsid w:val="00D26B3F"/>
    <w:rsid w:val="00D63CA4"/>
    <w:rsid w:val="00D66456"/>
    <w:rsid w:val="00D70167"/>
    <w:rsid w:val="00D73DC7"/>
    <w:rsid w:val="00D87095"/>
    <w:rsid w:val="00DA2100"/>
    <w:rsid w:val="00DA7C68"/>
    <w:rsid w:val="00DB553D"/>
    <w:rsid w:val="00DC2F11"/>
    <w:rsid w:val="00DC773E"/>
    <w:rsid w:val="00E2089C"/>
    <w:rsid w:val="00E97FB2"/>
    <w:rsid w:val="00EB244A"/>
    <w:rsid w:val="00EB4F58"/>
    <w:rsid w:val="00ED6DFF"/>
    <w:rsid w:val="00EE2150"/>
    <w:rsid w:val="00EF1A00"/>
    <w:rsid w:val="00EF1C10"/>
    <w:rsid w:val="00EF35AA"/>
    <w:rsid w:val="00EF3E03"/>
    <w:rsid w:val="00F42EE9"/>
    <w:rsid w:val="00F43853"/>
    <w:rsid w:val="00F5291F"/>
    <w:rsid w:val="00F81286"/>
    <w:rsid w:val="00F81BAE"/>
    <w:rsid w:val="00F9629D"/>
    <w:rsid w:val="00FA24C3"/>
    <w:rsid w:val="00FC743E"/>
    <w:rsid w:val="01114643"/>
    <w:rsid w:val="01380AB9"/>
    <w:rsid w:val="016227D2"/>
    <w:rsid w:val="01DB3D02"/>
    <w:rsid w:val="01F145FA"/>
    <w:rsid w:val="020A59B8"/>
    <w:rsid w:val="0259357F"/>
    <w:rsid w:val="026B4329"/>
    <w:rsid w:val="027379A2"/>
    <w:rsid w:val="031A39E0"/>
    <w:rsid w:val="034A10B0"/>
    <w:rsid w:val="034B54E5"/>
    <w:rsid w:val="034F5FEC"/>
    <w:rsid w:val="03770FD7"/>
    <w:rsid w:val="03A93CD5"/>
    <w:rsid w:val="04B71667"/>
    <w:rsid w:val="056B2EAB"/>
    <w:rsid w:val="059C0064"/>
    <w:rsid w:val="05C343FC"/>
    <w:rsid w:val="05D55878"/>
    <w:rsid w:val="06075063"/>
    <w:rsid w:val="065B3F03"/>
    <w:rsid w:val="06675AFA"/>
    <w:rsid w:val="06B4339D"/>
    <w:rsid w:val="06D46181"/>
    <w:rsid w:val="06F560F1"/>
    <w:rsid w:val="07212D8C"/>
    <w:rsid w:val="07701695"/>
    <w:rsid w:val="07AA6E3B"/>
    <w:rsid w:val="081C13DF"/>
    <w:rsid w:val="083A2174"/>
    <w:rsid w:val="09DC1107"/>
    <w:rsid w:val="09E04F43"/>
    <w:rsid w:val="0A077909"/>
    <w:rsid w:val="0A09660A"/>
    <w:rsid w:val="0A2A6CD7"/>
    <w:rsid w:val="0A564E95"/>
    <w:rsid w:val="0AE146B8"/>
    <w:rsid w:val="0B3137B9"/>
    <w:rsid w:val="0B6639F8"/>
    <w:rsid w:val="0B872C06"/>
    <w:rsid w:val="0BAC48EE"/>
    <w:rsid w:val="0BFC6BFA"/>
    <w:rsid w:val="0C0D3300"/>
    <w:rsid w:val="0C147E1E"/>
    <w:rsid w:val="0C2E693D"/>
    <w:rsid w:val="0C7D0182"/>
    <w:rsid w:val="0CA50A56"/>
    <w:rsid w:val="0CC71789"/>
    <w:rsid w:val="0CCC3B5A"/>
    <w:rsid w:val="0D015538"/>
    <w:rsid w:val="0D2062DB"/>
    <w:rsid w:val="0DB621BB"/>
    <w:rsid w:val="0DCB374E"/>
    <w:rsid w:val="0E504070"/>
    <w:rsid w:val="0F272572"/>
    <w:rsid w:val="0F900ABB"/>
    <w:rsid w:val="0F924286"/>
    <w:rsid w:val="0FD308BB"/>
    <w:rsid w:val="1091085C"/>
    <w:rsid w:val="10B0645D"/>
    <w:rsid w:val="10B96698"/>
    <w:rsid w:val="11544A77"/>
    <w:rsid w:val="118A5DEB"/>
    <w:rsid w:val="11C81D08"/>
    <w:rsid w:val="12112B8E"/>
    <w:rsid w:val="12B55394"/>
    <w:rsid w:val="12B85695"/>
    <w:rsid w:val="12DA4846"/>
    <w:rsid w:val="12E54E60"/>
    <w:rsid w:val="13070F05"/>
    <w:rsid w:val="130A2E2D"/>
    <w:rsid w:val="13100C85"/>
    <w:rsid w:val="13AE6667"/>
    <w:rsid w:val="13F11DA0"/>
    <w:rsid w:val="141D25D9"/>
    <w:rsid w:val="14256494"/>
    <w:rsid w:val="147909CA"/>
    <w:rsid w:val="147964C6"/>
    <w:rsid w:val="147D55DA"/>
    <w:rsid w:val="14E902AF"/>
    <w:rsid w:val="150C0A97"/>
    <w:rsid w:val="15222203"/>
    <w:rsid w:val="15271861"/>
    <w:rsid w:val="159727EC"/>
    <w:rsid w:val="15ED79FC"/>
    <w:rsid w:val="16503439"/>
    <w:rsid w:val="16643EF2"/>
    <w:rsid w:val="16D91912"/>
    <w:rsid w:val="174D2E7C"/>
    <w:rsid w:val="177E10EC"/>
    <w:rsid w:val="179F3F3D"/>
    <w:rsid w:val="17C83EAE"/>
    <w:rsid w:val="17E04D59"/>
    <w:rsid w:val="17E614AE"/>
    <w:rsid w:val="17E923C5"/>
    <w:rsid w:val="18373DE2"/>
    <w:rsid w:val="184E2EEE"/>
    <w:rsid w:val="18906D57"/>
    <w:rsid w:val="189A54F9"/>
    <w:rsid w:val="191839C6"/>
    <w:rsid w:val="19945710"/>
    <w:rsid w:val="19BD37F0"/>
    <w:rsid w:val="19F16BEE"/>
    <w:rsid w:val="1A38607E"/>
    <w:rsid w:val="1AA651B0"/>
    <w:rsid w:val="1B41134F"/>
    <w:rsid w:val="1B602D48"/>
    <w:rsid w:val="1B742B16"/>
    <w:rsid w:val="1BC13D98"/>
    <w:rsid w:val="1BE17DCF"/>
    <w:rsid w:val="1C170E9B"/>
    <w:rsid w:val="1C3B568E"/>
    <w:rsid w:val="1C8915A3"/>
    <w:rsid w:val="1DA92E5A"/>
    <w:rsid w:val="1DF81E25"/>
    <w:rsid w:val="1E32300A"/>
    <w:rsid w:val="1E7540AD"/>
    <w:rsid w:val="1E8C316C"/>
    <w:rsid w:val="1EAB551E"/>
    <w:rsid w:val="1F5B7472"/>
    <w:rsid w:val="1F6A4F05"/>
    <w:rsid w:val="1F9C2C72"/>
    <w:rsid w:val="206A7E28"/>
    <w:rsid w:val="207803B0"/>
    <w:rsid w:val="208649C9"/>
    <w:rsid w:val="20BB150B"/>
    <w:rsid w:val="20BD536D"/>
    <w:rsid w:val="210B37DD"/>
    <w:rsid w:val="21447978"/>
    <w:rsid w:val="216E2BCC"/>
    <w:rsid w:val="21AC6D45"/>
    <w:rsid w:val="21EE7CCB"/>
    <w:rsid w:val="21F158C1"/>
    <w:rsid w:val="22106754"/>
    <w:rsid w:val="221B3197"/>
    <w:rsid w:val="224C1ECF"/>
    <w:rsid w:val="225A7F65"/>
    <w:rsid w:val="22B41557"/>
    <w:rsid w:val="22BF3DEF"/>
    <w:rsid w:val="233035EF"/>
    <w:rsid w:val="238103F0"/>
    <w:rsid w:val="23FC4689"/>
    <w:rsid w:val="23FD41F0"/>
    <w:rsid w:val="244D6BA0"/>
    <w:rsid w:val="24BC5775"/>
    <w:rsid w:val="24E977D4"/>
    <w:rsid w:val="25152227"/>
    <w:rsid w:val="256E6DF4"/>
    <w:rsid w:val="257152AB"/>
    <w:rsid w:val="25C55D9B"/>
    <w:rsid w:val="25C741D7"/>
    <w:rsid w:val="25CF1A17"/>
    <w:rsid w:val="26174E64"/>
    <w:rsid w:val="2627062A"/>
    <w:rsid w:val="264F32AC"/>
    <w:rsid w:val="26C06A83"/>
    <w:rsid w:val="278C458E"/>
    <w:rsid w:val="27A74EEB"/>
    <w:rsid w:val="27AB4EF6"/>
    <w:rsid w:val="284815D6"/>
    <w:rsid w:val="288457D2"/>
    <w:rsid w:val="290A6B95"/>
    <w:rsid w:val="29856BEB"/>
    <w:rsid w:val="2A0E3E2B"/>
    <w:rsid w:val="2A824D53"/>
    <w:rsid w:val="2B247E88"/>
    <w:rsid w:val="2B2734ED"/>
    <w:rsid w:val="2B3124F7"/>
    <w:rsid w:val="2BFF4DEB"/>
    <w:rsid w:val="2C015203"/>
    <w:rsid w:val="2C5B21C7"/>
    <w:rsid w:val="2D033ED3"/>
    <w:rsid w:val="2E220F9C"/>
    <w:rsid w:val="2EC064CF"/>
    <w:rsid w:val="2F275EB9"/>
    <w:rsid w:val="2F37654F"/>
    <w:rsid w:val="2F6550B0"/>
    <w:rsid w:val="2F7258F9"/>
    <w:rsid w:val="2F8566C5"/>
    <w:rsid w:val="2FC674B3"/>
    <w:rsid w:val="2FE871F7"/>
    <w:rsid w:val="2FF75DAB"/>
    <w:rsid w:val="2FFB5C6F"/>
    <w:rsid w:val="30060799"/>
    <w:rsid w:val="302929CD"/>
    <w:rsid w:val="30840EBD"/>
    <w:rsid w:val="309A79CF"/>
    <w:rsid w:val="311B5901"/>
    <w:rsid w:val="31306A30"/>
    <w:rsid w:val="31A8105F"/>
    <w:rsid w:val="31AD0ED9"/>
    <w:rsid w:val="31CE49CE"/>
    <w:rsid w:val="31CE5EF7"/>
    <w:rsid w:val="31E26C12"/>
    <w:rsid w:val="32B80215"/>
    <w:rsid w:val="32CC71D4"/>
    <w:rsid w:val="33066768"/>
    <w:rsid w:val="330D197A"/>
    <w:rsid w:val="33422656"/>
    <w:rsid w:val="334545D5"/>
    <w:rsid w:val="33DB1F88"/>
    <w:rsid w:val="33E70FC0"/>
    <w:rsid w:val="33FF7018"/>
    <w:rsid w:val="34083734"/>
    <w:rsid w:val="342A3E86"/>
    <w:rsid w:val="343D1F49"/>
    <w:rsid w:val="34942E78"/>
    <w:rsid w:val="34C506E1"/>
    <w:rsid w:val="34F86A7D"/>
    <w:rsid w:val="361C36D8"/>
    <w:rsid w:val="36AA371A"/>
    <w:rsid w:val="37895762"/>
    <w:rsid w:val="379B1BAE"/>
    <w:rsid w:val="38160B5E"/>
    <w:rsid w:val="38514FE4"/>
    <w:rsid w:val="3893430B"/>
    <w:rsid w:val="38960377"/>
    <w:rsid w:val="38BE7AAD"/>
    <w:rsid w:val="38BF5B3B"/>
    <w:rsid w:val="3974368B"/>
    <w:rsid w:val="39B81C2D"/>
    <w:rsid w:val="39E43F56"/>
    <w:rsid w:val="3A181ED0"/>
    <w:rsid w:val="3A356DC4"/>
    <w:rsid w:val="3AAF06D1"/>
    <w:rsid w:val="3ABF0FC9"/>
    <w:rsid w:val="3B5B4AF4"/>
    <w:rsid w:val="3B61113D"/>
    <w:rsid w:val="3B875B54"/>
    <w:rsid w:val="3BA2004B"/>
    <w:rsid w:val="3C5D2647"/>
    <w:rsid w:val="3C9D1AFE"/>
    <w:rsid w:val="3D332FEF"/>
    <w:rsid w:val="3D354718"/>
    <w:rsid w:val="3D4A19AC"/>
    <w:rsid w:val="3D634DBC"/>
    <w:rsid w:val="3D842B2A"/>
    <w:rsid w:val="3DB45C70"/>
    <w:rsid w:val="3E9511E5"/>
    <w:rsid w:val="3EC85A28"/>
    <w:rsid w:val="3ED94BDD"/>
    <w:rsid w:val="3F6942C1"/>
    <w:rsid w:val="40082C1D"/>
    <w:rsid w:val="40976E58"/>
    <w:rsid w:val="40BC4664"/>
    <w:rsid w:val="40C25F83"/>
    <w:rsid w:val="40FF5514"/>
    <w:rsid w:val="41156171"/>
    <w:rsid w:val="412119CE"/>
    <w:rsid w:val="412509AC"/>
    <w:rsid w:val="41417E39"/>
    <w:rsid w:val="41F207DD"/>
    <w:rsid w:val="42325E2E"/>
    <w:rsid w:val="42464C06"/>
    <w:rsid w:val="424B03CB"/>
    <w:rsid w:val="42770D03"/>
    <w:rsid w:val="428975F7"/>
    <w:rsid w:val="43186ED3"/>
    <w:rsid w:val="43383576"/>
    <w:rsid w:val="433D442E"/>
    <w:rsid w:val="43691102"/>
    <w:rsid w:val="436F2EC2"/>
    <w:rsid w:val="439D057F"/>
    <w:rsid w:val="43DE6894"/>
    <w:rsid w:val="43ED6265"/>
    <w:rsid w:val="44F55E3B"/>
    <w:rsid w:val="45116CC7"/>
    <w:rsid w:val="45347B09"/>
    <w:rsid w:val="453900B6"/>
    <w:rsid w:val="45D31DAF"/>
    <w:rsid w:val="46037140"/>
    <w:rsid w:val="4613714F"/>
    <w:rsid w:val="466212A8"/>
    <w:rsid w:val="468612DE"/>
    <w:rsid w:val="46884D3A"/>
    <w:rsid w:val="46C229E5"/>
    <w:rsid w:val="46E911A1"/>
    <w:rsid w:val="477208C3"/>
    <w:rsid w:val="47817705"/>
    <w:rsid w:val="4795487A"/>
    <w:rsid w:val="47DE2A9B"/>
    <w:rsid w:val="48146C8F"/>
    <w:rsid w:val="48464746"/>
    <w:rsid w:val="485353F4"/>
    <w:rsid w:val="48C4597E"/>
    <w:rsid w:val="48E95668"/>
    <w:rsid w:val="48EB793B"/>
    <w:rsid w:val="49967386"/>
    <w:rsid w:val="49C0648E"/>
    <w:rsid w:val="49DA0D5A"/>
    <w:rsid w:val="49E66A05"/>
    <w:rsid w:val="4A0D5925"/>
    <w:rsid w:val="4A3A4876"/>
    <w:rsid w:val="4A823AED"/>
    <w:rsid w:val="4AF71A43"/>
    <w:rsid w:val="4B10419D"/>
    <w:rsid w:val="4B6F4A1F"/>
    <w:rsid w:val="4BBB42F7"/>
    <w:rsid w:val="4C106233"/>
    <w:rsid w:val="4C5E7B36"/>
    <w:rsid w:val="4CB34FAB"/>
    <w:rsid w:val="4CBC1BE7"/>
    <w:rsid w:val="4CE51C2F"/>
    <w:rsid w:val="4D0967F0"/>
    <w:rsid w:val="4D277B51"/>
    <w:rsid w:val="4D604275"/>
    <w:rsid w:val="4E051D50"/>
    <w:rsid w:val="4E0C76D9"/>
    <w:rsid w:val="4E2B3269"/>
    <w:rsid w:val="4E470F0D"/>
    <w:rsid w:val="4E54514A"/>
    <w:rsid w:val="4E7F0BEB"/>
    <w:rsid w:val="4EF118A6"/>
    <w:rsid w:val="4F1C1954"/>
    <w:rsid w:val="4F5343E4"/>
    <w:rsid w:val="4F8E6B38"/>
    <w:rsid w:val="4FFF7BD2"/>
    <w:rsid w:val="500E1593"/>
    <w:rsid w:val="502D62B8"/>
    <w:rsid w:val="509945A8"/>
    <w:rsid w:val="50C97B4A"/>
    <w:rsid w:val="50F92FD6"/>
    <w:rsid w:val="510913AC"/>
    <w:rsid w:val="51FB3976"/>
    <w:rsid w:val="52B044AE"/>
    <w:rsid w:val="53E1553B"/>
    <w:rsid w:val="54323AF3"/>
    <w:rsid w:val="54761C62"/>
    <w:rsid w:val="55601C09"/>
    <w:rsid w:val="558650C3"/>
    <w:rsid w:val="55AF5900"/>
    <w:rsid w:val="5604732E"/>
    <w:rsid w:val="569A1CD7"/>
    <w:rsid w:val="569E1D63"/>
    <w:rsid w:val="56FE7A9B"/>
    <w:rsid w:val="57040C46"/>
    <w:rsid w:val="57280686"/>
    <w:rsid w:val="57496E6E"/>
    <w:rsid w:val="5772114D"/>
    <w:rsid w:val="57C2542F"/>
    <w:rsid w:val="5829665D"/>
    <w:rsid w:val="58954A37"/>
    <w:rsid w:val="58A90D8E"/>
    <w:rsid w:val="5A600B71"/>
    <w:rsid w:val="5A931ACE"/>
    <w:rsid w:val="5A9831F6"/>
    <w:rsid w:val="5B0F4953"/>
    <w:rsid w:val="5B30715F"/>
    <w:rsid w:val="5B45541D"/>
    <w:rsid w:val="5B87251B"/>
    <w:rsid w:val="5C4271BB"/>
    <w:rsid w:val="5C630249"/>
    <w:rsid w:val="5C656336"/>
    <w:rsid w:val="5CBD1349"/>
    <w:rsid w:val="5D27258B"/>
    <w:rsid w:val="5D370027"/>
    <w:rsid w:val="5DC848BF"/>
    <w:rsid w:val="5DE874B0"/>
    <w:rsid w:val="5E8D6AC0"/>
    <w:rsid w:val="5E9618AF"/>
    <w:rsid w:val="5EA17D78"/>
    <w:rsid w:val="5EEB2313"/>
    <w:rsid w:val="5F187036"/>
    <w:rsid w:val="5F6E3DE0"/>
    <w:rsid w:val="5FFC1FE3"/>
    <w:rsid w:val="602138E4"/>
    <w:rsid w:val="60362987"/>
    <w:rsid w:val="60D80308"/>
    <w:rsid w:val="61296BD9"/>
    <w:rsid w:val="61FC51C9"/>
    <w:rsid w:val="62362EEC"/>
    <w:rsid w:val="625F1448"/>
    <w:rsid w:val="627657BD"/>
    <w:rsid w:val="6372675D"/>
    <w:rsid w:val="63895963"/>
    <w:rsid w:val="63C1014D"/>
    <w:rsid w:val="64407BDA"/>
    <w:rsid w:val="651A4938"/>
    <w:rsid w:val="6567437D"/>
    <w:rsid w:val="6587200E"/>
    <w:rsid w:val="658B0903"/>
    <w:rsid w:val="65D4034B"/>
    <w:rsid w:val="65DA1D78"/>
    <w:rsid w:val="66100EF7"/>
    <w:rsid w:val="664B6D30"/>
    <w:rsid w:val="66AF6A7D"/>
    <w:rsid w:val="66FA5AD2"/>
    <w:rsid w:val="67140157"/>
    <w:rsid w:val="67EC5C53"/>
    <w:rsid w:val="68080F77"/>
    <w:rsid w:val="683C4957"/>
    <w:rsid w:val="689504FF"/>
    <w:rsid w:val="69134603"/>
    <w:rsid w:val="691A738C"/>
    <w:rsid w:val="69207ACA"/>
    <w:rsid w:val="69A3099F"/>
    <w:rsid w:val="69AA1E47"/>
    <w:rsid w:val="69C869A5"/>
    <w:rsid w:val="6A29310F"/>
    <w:rsid w:val="6A915DF9"/>
    <w:rsid w:val="6B093D5D"/>
    <w:rsid w:val="6B182FF1"/>
    <w:rsid w:val="6B541788"/>
    <w:rsid w:val="6B7718C5"/>
    <w:rsid w:val="6B8A55A3"/>
    <w:rsid w:val="6C030A06"/>
    <w:rsid w:val="6C1431AD"/>
    <w:rsid w:val="6C3D05D8"/>
    <w:rsid w:val="6CDE59BE"/>
    <w:rsid w:val="6D1F5305"/>
    <w:rsid w:val="6D900716"/>
    <w:rsid w:val="6D9B4EEA"/>
    <w:rsid w:val="6DA84DF2"/>
    <w:rsid w:val="6DE95441"/>
    <w:rsid w:val="6ED5654D"/>
    <w:rsid w:val="6EE04C9D"/>
    <w:rsid w:val="6EF517BE"/>
    <w:rsid w:val="6EFA3E39"/>
    <w:rsid w:val="6FC06588"/>
    <w:rsid w:val="6FD21FC9"/>
    <w:rsid w:val="6FEE0FD8"/>
    <w:rsid w:val="700E2E10"/>
    <w:rsid w:val="70247C77"/>
    <w:rsid w:val="70263E0A"/>
    <w:rsid w:val="70846481"/>
    <w:rsid w:val="70960608"/>
    <w:rsid w:val="70B721FB"/>
    <w:rsid w:val="70C5731A"/>
    <w:rsid w:val="71562B37"/>
    <w:rsid w:val="71726E1A"/>
    <w:rsid w:val="717938E0"/>
    <w:rsid w:val="718535DF"/>
    <w:rsid w:val="719C62B8"/>
    <w:rsid w:val="71E01B90"/>
    <w:rsid w:val="726250EF"/>
    <w:rsid w:val="72BC6ECE"/>
    <w:rsid w:val="72CB453D"/>
    <w:rsid w:val="72CF53F7"/>
    <w:rsid w:val="7336770D"/>
    <w:rsid w:val="73406F59"/>
    <w:rsid w:val="735D7FF2"/>
    <w:rsid w:val="73915901"/>
    <w:rsid w:val="739E0310"/>
    <w:rsid w:val="743B0EAE"/>
    <w:rsid w:val="74404D59"/>
    <w:rsid w:val="74B914A4"/>
    <w:rsid w:val="74BB10BB"/>
    <w:rsid w:val="74FD7AA2"/>
    <w:rsid w:val="75096A19"/>
    <w:rsid w:val="75160885"/>
    <w:rsid w:val="752C1F66"/>
    <w:rsid w:val="759179B2"/>
    <w:rsid w:val="75AC7D4D"/>
    <w:rsid w:val="75BC2C2B"/>
    <w:rsid w:val="76C660A5"/>
    <w:rsid w:val="76EB3245"/>
    <w:rsid w:val="777C133B"/>
    <w:rsid w:val="77E06578"/>
    <w:rsid w:val="787A2D7D"/>
    <w:rsid w:val="78907061"/>
    <w:rsid w:val="78A62100"/>
    <w:rsid w:val="78F842C6"/>
    <w:rsid w:val="792A0644"/>
    <w:rsid w:val="79627175"/>
    <w:rsid w:val="79805184"/>
    <w:rsid w:val="799003DE"/>
    <w:rsid w:val="79AF48C1"/>
    <w:rsid w:val="79C055CB"/>
    <w:rsid w:val="79DD0274"/>
    <w:rsid w:val="7A83029D"/>
    <w:rsid w:val="7AA97868"/>
    <w:rsid w:val="7AC44A91"/>
    <w:rsid w:val="7B2E010F"/>
    <w:rsid w:val="7B724107"/>
    <w:rsid w:val="7BD57070"/>
    <w:rsid w:val="7CE66285"/>
    <w:rsid w:val="7CE73E41"/>
    <w:rsid w:val="7D813899"/>
    <w:rsid w:val="7D8A73F0"/>
    <w:rsid w:val="7DEA5999"/>
    <w:rsid w:val="7E00649A"/>
    <w:rsid w:val="7EBE54DD"/>
    <w:rsid w:val="7EE2624A"/>
    <w:rsid w:val="7EF13885"/>
    <w:rsid w:val="7F580B8C"/>
    <w:rsid w:val="7FCE62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line="600" w:lineRule="exact"/>
      <w:outlineLvl w:val="0"/>
    </w:pPr>
    <w:rPr>
      <w:rFonts w:ascii="Times New Roman" w:hAnsi="Times New Roman" w:eastAsia="华文细黑" w:cs="Times New Roman"/>
      <w:b/>
      <w:bCs/>
      <w:kern w:val="44"/>
      <w:sz w:val="30"/>
      <w:szCs w:val="44"/>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Char"/>
    <w:basedOn w:val="8"/>
    <w:link w:val="5"/>
    <w:qFormat/>
    <w:uiPriority w:val="99"/>
    <w:rPr>
      <w:sz w:val="18"/>
      <w:szCs w:val="18"/>
    </w:rPr>
  </w:style>
  <w:style w:type="character" w:customStyle="1" w:styleId="10">
    <w:name w:val="页脚 Char"/>
    <w:basedOn w:val="8"/>
    <w:link w:val="4"/>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3"/>
    <w:semiHidden/>
    <w:qFormat/>
    <w:uiPriority w:val="99"/>
    <w:rPr>
      <w:sz w:val="18"/>
      <w:szCs w:val="18"/>
    </w:rPr>
  </w:style>
  <w:style w:type="character" w:customStyle="1" w:styleId="13">
    <w:name w:val="标题 1 Char"/>
    <w:basedOn w:val="8"/>
    <w:link w:val="2"/>
    <w:qFormat/>
    <w:uiPriority w:val="0"/>
    <w:rPr>
      <w:rFonts w:eastAsia="华文细黑"/>
      <w:b/>
      <w:bCs/>
      <w:kern w:val="44"/>
      <w:sz w:val="30"/>
      <w:szCs w:val="44"/>
    </w:rPr>
  </w:style>
  <w:style w:type="paragraph" w:customStyle="1" w:styleId="14">
    <w:name w:val="a"/>
    <w:basedOn w:val="1"/>
    <w:qFormat/>
    <w:uiPriority w:val="0"/>
    <w:pPr>
      <w:widowControl/>
      <w:spacing w:before="100" w:beforeAutospacing="1" w:after="100" w:afterAutospacing="1"/>
      <w:jc w:val="left"/>
    </w:pPr>
    <w:rPr>
      <w:rFonts w:ascii="宋体" w:hAnsi="宋体" w:eastAsia="宋体" w:cs="Times New Roman"/>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ECC4B-4C45-421B-B6F7-6456BE31970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3066</Words>
  <Characters>3386</Characters>
  <Lines>25</Lines>
  <Paragraphs>7</Paragraphs>
  <TotalTime>89</TotalTime>
  <ScaleCrop>false</ScaleCrop>
  <LinksUpToDate>false</LinksUpToDate>
  <CharactersWithSpaces>3418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2019-10-30T06:46:00Z</dcterms:created>
  <dc:creator>微软用户</dc:creator>
  <cp:lastModifiedBy>博天</cp:lastModifiedBy>
  <cp:lastPrinted>2023-06-30T02:47:31Z</cp:lastPrinted>
  <dcterms:modified xsi:type="dcterms:W3CDTF">2023-06-30T07:57:58Z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4E58146524C14F7BBC7EAD6B66B38CDD</vt:lpwstr>
  </property>
</Properties>
</file>